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50"/>
      </w:tblGrid>
      <w:tr w:rsidR="00322727" w:rsidRPr="00322727" w14:paraId="27985B1D" w14:textId="77777777" w:rsidTr="603D9E64">
        <w:tc>
          <w:tcPr>
            <w:tcW w:w="2127" w:type="dxa"/>
          </w:tcPr>
          <w:p w14:paraId="321DA777" w14:textId="64D6B330" w:rsidR="00322727" w:rsidRPr="00322727" w:rsidRDefault="00322727" w:rsidP="603D9E64">
            <w:pPr>
              <w:pStyle w:val="NormalWeb"/>
              <w:spacing w:before="0" w:beforeAutospacing="0" w:after="120" w:afterAutospacing="0"/>
              <w:rPr>
                <w:rFonts w:ascii="Work Sans" w:hAnsi="Work Sans"/>
                <w:lang w:val="fr-FR"/>
              </w:rPr>
            </w:pPr>
            <w:r>
              <w:rPr>
                <w:noProof/>
              </w:rPr>
              <w:drawing>
                <wp:inline distT="0" distB="0" distL="0" distR="0" wp14:anchorId="4091BD72" wp14:editId="0F56D5E0">
                  <wp:extent cx="855162" cy="1150620"/>
                  <wp:effectExtent l="0" t="0" r="2540" b="0"/>
                  <wp:docPr id="35685936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5162" cy="1150620"/>
                          </a:xfrm>
                          <a:prstGeom prst="rect">
                            <a:avLst/>
                          </a:prstGeom>
                        </pic:spPr>
                      </pic:pic>
                    </a:graphicData>
                  </a:graphic>
                </wp:inline>
              </w:drawing>
            </w:r>
          </w:p>
          <w:p w14:paraId="3B09A3A6" w14:textId="28869563" w:rsidR="00322727" w:rsidRPr="00322727" w:rsidRDefault="00322727" w:rsidP="603D9E64">
            <w:pPr>
              <w:pStyle w:val="NormalWeb"/>
              <w:spacing w:before="0" w:beforeAutospacing="0" w:after="120" w:afterAutospacing="0"/>
              <w:rPr>
                <w:rFonts w:ascii="Work Sans" w:hAnsi="Work Sans"/>
                <w:lang w:val="fr-FR"/>
              </w:rPr>
            </w:pPr>
          </w:p>
        </w:tc>
        <w:tc>
          <w:tcPr>
            <w:tcW w:w="7050" w:type="dxa"/>
          </w:tcPr>
          <w:p w14:paraId="58EEE7CD" w14:textId="32537916" w:rsidR="184E2ED4" w:rsidRDefault="603D9E64" w:rsidP="006A4FAF">
            <w:pPr>
              <w:pStyle w:val="Pourciter"/>
            </w:pPr>
            <w:r w:rsidRPr="603D9E64">
              <w:t xml:space="preserve">Pour citer cette notice : </w:t>
            </w:r>
          </w:p>
          <w:p w14:paraId="7BD7F9D5" w14:textId="4CDA2E31" w:rsidR="00322727" w:rsidRPr="00322727" w:rsidRDefault="00ED74CE" w:rsidP="006A4FAF">
            <w:pPr>
              <w:pStyle w:val="Pourciter"/>
            </w:pPr>
            <w:r>
              <w:rPr>
                <w:b/>
                <w:bCs/>
              </w:rPr>
              <w:t xml:space="preserve">Alice Latouche et Marion </w:t>
            </w:r>
            <w:proofErr w:type="spellStart"/>
            <w:r>
              <w:rPr>
                <w:b/>
                <w:bCs/>
              </w:rPr>
              <w:t>Tillous</w:t>
            </w:r>
            <w:proofErr w:type="spellEnd"/>
            <w:r w:rsidR="00777945" w:rsidRPr="00D070B1">
              <w:t>,</w:t>
            </w:r>
            <w:r w:rsidR="00777945" w:rsidRPr="00777945">
              <w:rPr>
                <w:b/>
                <w:bCs/>
              </w:rPr>
              <w:t xml:space="preserve"> </w:t>
            </w:r>
            <w:r w:rsidR="00777945" w:rsidRPr="00777945">
              <w:t>202</w:t>
            </w:r>
            <w:r>
              <w:t>6</w:t>
            </w:r>
            <w:r w:rsidR="00777945" w:rsidRPr="00777945">
              <w:t>, "</w:t>
            </w:r>
            <w:r>
              <w:t>violence</w:t>
            </w:r>
            <w:r w:rsidR="00777945" w:rsidRPr="00777945">
              <w:t xml:space="preserve">". </w:t>
            </w:r>
            <w:proofErr w:type="spellStart"/>
            <w:r w:rsidR="00777945" w:rsidRPr="00777945">
              <w:t>MobiDic</w:t>
            </w:r>
            <w:proofErr w:type="spellEnd"/>
            <w:r w:rsidR="00777945" w:rsidRPr="00777945">
              <w:t xml:space="preserve">, Dictionnaire critique des Mobilités. </w:t>
            </w:r>
            <w:proofErr w:type="gramStart"/>
            <w:r w:rsidR="00777945" w:rsidRPr="00777945">
              <w:t>Accès:</w:t>
            </w:r>
            <w:proofErr w:type="gramEnd"/>
            <w:r w:rsidR="00777945" w:rsidRPr="00777945">
              <w:t xml:space="preserve"> </w:t>
            </w:r>
            <w:hyperlink r:id="rId8" w:tgtFrame="_blank" w:history="1">
              <w:r w:rsidRPr="00ED74CE">
                <w:rPr>
                  <w:rStyle w:val="Lienhypertexte"/>
                  <w:lang w:val="ca-ES"/>
                </w:rPr>
                <w:t>https://</w:t>
              </w:r>
              <w:r w:rsidRPr="00ED74CE">
                <w:rPr>
                  <w:rStyle w:val="Lienhypertexte"/>
                  <w:lang w:val="ca-ES"/>
                </w:rPr>
                <w:t>d</w:t>
              </w:r>
              <w:r w:rsidRPr="00ED74CE">
                <w:rPr>
                  <w:rStyle w:val="Lienhypertexte"/>
                  <w:lang w:val="ca-ES"/>
                </w:rPr>
                <w:t>oi.org/10.60582/geomob31</w:t>
              </w:r>
            </w:hyperlink>
          </w:p>
        </w:tc>
      </w:tr>
    </w:tbl>
    <w:p w14:paraId="481DD37E" w14:textId="64B33721" w:rsidR="003758AB" w:rsidRPr="00322727" w:rsidRDefault="00ED74CE" w:rsidP="006A4FAF">
      <w:pPr>
        <w:pStyle w:val="Titre1"/>
      </w:pPr>
      <w:r>
        <w:t>Violence</w:t>
      </w:r>
    </w:p>
    <w:p w14:paraId="0D1E01CB" w14:textId="092C5B55" w:rsidR="00D070B1" w:rsidRDefault="00ED74CE" w:rsidP="00D070B1">
      <w:pPr>
        <w:pStyle w:val="Sous-titre"/>
        <w:spacing w:after="0"/>
      </w:pPr>
      <w:r>
        <w:t>Alice Latouche</w:t>
      </w:r>
    </w:p>
    <w:p w14:paraId="01FF15AB" w14:textId="5B461D59" w:rsidR="00D070B1" w:rsidRDefault="00ED74CE" w:rsidP="00D070B1">
      <w:pPr>
        <w:pStyle w:val="Sous-titre"/>
        <w:spacing w:after="0"/>
      </w:pPr>
      <w:r>
        <w:t>Docteure en sociologie</w:t>
      </w:r>
    </w:p>
    <w:p w14:paraId="6B65D892" w14:textId="5B389FEF" w:rsidR="00777945" w:rsidRDefault="00ED74CE" w:rsidP="00D070B1">
      <w:pPr>
        <w:pStyle w:val="Sous-titre"/>
        <w:spacing w:after="0"/>
      </w:pPr>
      <w:proofErr w:type="spellStart"/>
      <w:r>
        <w:rPr>
          <w:lang w:val="ca-ES"/>
        </w:rPr>
        <w:t>L</w:t>
      </w:r>
      <w:r w:rsidRPr="00ED74CE">
        <w:rPr>
          <w:lang w:val="ca-ES"/>
        </w:rPr>
        <w:t>aboratoire</w:t>
      </w:r>
      <w:proofErr w:type="spellEnd"/>
      <w:r w:rsidRPr="00ED74CE">
        <w:rPr>
          <w:lang w:val="ca-ES"/>
        </w:rPr>
        <w:t xml:space="preserve"> </w:t>
      </w:r>
      <w:proofErr w:type="spellStart"/>
      <w:r w:rsidRPr="00ED74CE">
        <w:rPr>
          <w:lang w:val="ca-ES"/>
        </w:rPr>
        <w:t>Migrinter</w:t>
      </w:r>
      <w:proofErr w:type="spellEnd"/>
      <w:r w:rsidRPr="00ED74CE">
        <w:rPr>
          <w:lang w:val="ca-ES"/>
        </w:rPr>
        <w:t xml:space="preserve"> </w:t>
      </w:r>
      <w:proofErr w:type="spellStart"/>
      <w:r w:rsidRPr="00ED74CE">
        <w:rPr>
          <w:lang w:val="ca-ES"/>
        </w:rPr>
        <w:t>Université</w:t>
      </w:r>
      <w:proofErr w:type="spellEnd"/>
      <w:r w:rsidRPr="00ED74CE">
        <w:rPr>
          <w:lang w:val="ca-ES"/>
        </w:rPr>
        <w:t xml:space="preserve"> de Poitiers/CNRS</w:t>
      </w:r>
    </w:p>
    <w:p w14:paraId="0C03C640" w14:textId="77777777" w:rsidR="00D070B1" w:rsidRPr="00D070B1" w:rsidRDefault="00D070B1" w:rsidP="00D070B1">
      <w:pPr>
        <w:rPr>
          <w:lang w:val="fr-FR"/>
        </w:rPr>
      </w:pPr>
    </w:p>
    <w:p w14:paraId="57493E50" w14:textId="13227456" w:rsidR="00D070B1" w:rsidRDefault="00ED74CE" w:rsidP="00D070B1">
      <w:pPr>
        <w:pStyle w:val="Sous-titre"/>
        <w:spacing w:after="0"/>
      </w:pPr>
      <w:r>
        <w:t xml:space="preserve">Marion </w:t>
      </w:r>
      <w:proofErr w:type="spellStart"/>
      <w:r>
        <w:t>Tillous</w:t>
      </w:r>
      <w:proofErr w:type="spellEnd"/>
    </w:p>
    <w:p w14:paraId="042DAEE1" w14:textId="27A1F748" w:rsidR="00D070B1" w:rsidRDefault="00D070B1" w:rsidP="00D070B1">
      <w:pPr>
        <w:pStyle w:val="Sous-titre"/>
        <w:spacing w:after="0"/>
      </w:pPr>
      <w:r>
        <w:t>M</w:t>
      </w:r>
      <w:r w:rsidR="00777945">
        <w:t>aître</w:t>
      </w:r>
      <w:r w:rsidR="00ED74CE">
        <w:t>sse</w:t>
      </w:r>
      <w:r w:rsidR="00777945">
        <w:t xml:space="preserve"> de conférence</w:t>
      </w:r>
    </w:p>
    <w:p w14:paraId="0DB658F5" w14:textId="4E997529" w:rsidR="00777945" w:rsidRPr="00777945" w:rsidRDefault="00ED74CE" w:rsidP="00D070B1">
      <w:pPr>
        <w:pStyle w:val="Sous-titre"/>
        <w:spacing w:after="0"/>
      </w:pPr>
      <w:r>
        <w:t>Université Paris 8</w:t>
      </w:r>
    </w:p>
    <w:p w14:paraId="2BAF0B6B" w14:textId="3B9041B8" w:rsidR="184E2ED4" w:rsidRDefault="184E2ED4" w:rsidP="603D9E64">
      <w:pPr>
        <w:jc w:val="center"/>
        <w:rPr>
          <w:b/>
          <w:bCs/>
          <w:lang w:val="fr-FR"/>
        </w:rPr>
      </w:pPr>
    </w:p>
    <w:p w14:paraId="3447FEE6" w14:textId="77777777" w:rsidR="00D070B1" w:rsidRDefault="00D070B1" w:rsidP="603D9E64">
      <w:pPr>
        <w:jc w:val="center"/>
        <w:rPr>
          <w:b/>
          <w:bCs/>
          <w:lang w:val="fr-FR"/>
        </w:rPr>
      </w:pPr>
    </w:p>
    <w:p w14:paraId="54316F0A" w14:textId="77777777" w:rsidR="00ED74CE" w:rsidRPr="00ED74CE" w:rsidRDefault="00ED74CE" w:rsidP="00ED74CE">
      <w:pPr>
        <w:spacing w:after="160" w:line="278" w:lineRule="auto"/>
        <w:rPr>
          <w:sz w:val="22"/>
          <w:szCs w:val="22"/>
          <w:lang w:val="fr-FR"/>
        </w:rPr>
      </w:pPr>
      <w:r w:rsidRPr="00ED74CE">
        <w:rPr>
          <w:sz w:val="22"/>
          <w:szCs w:val="22"/>
          <w:lang w:val="fr-FR"/>
        </w:rPr>
        <w:t>L’une des principales difficultés à penser la notion de « violence » tient au fait qu’elle ne se limite pas à des faits objectifs, mais qu’elle renvoie aussi à « la perception et à l’expérience qu’en ont et qu’en font les acteurs » (</w:t>
      </w:r>
      <w:proofErr w:type="spellStart"/>
      <w:r w:rsidRPr="00ED74CE">
        <w:rPr>
          <w:sz w:val="22"/>
          <w:szCs w:val="22"/>
          <w:lang w:val="fr-FR"/>
        </w:rPr>
        <w:t>Hily</w:t>
      </w:r>
      <w:proofErr w:type="spellEnd"/>
      <w:r w:rsidRPr="00ED74CE">
        <w:rPr>
          <w:sz w:val="22"/>
          <w:szCs w:val="22"/>
          <w:lang w:val="fr-FR"/>
        </w:rPr>
        <w:t xml:space="preserve"> et Poiret, 2020, p. 7) selon les contextes. De plus, le concept peut être employé pour qualifier des rapports de domination (violence sexiste, raciste, classiste, etc.), des formes d’agression (physique, psychologique, symbolique etc.) ou encore l’échelle à laquelle s’exercent ces agressions : on peut par exemple étudier les violences de genre à un niveau structurel, en s’intéressant à la manière dont une société patriarcale (re-)produit des rapports sociaux de domination, ou bien se pencher plus précisément sur des violences au sein d’un couple hétérosexuel.  </w:t>
      </w:r>
    </w:p>
    <w:p w14:paraId="6125914E" w14:textId="097B85C9" w:rsidR="00ED74CE" w:rsidRPr="00D070B1" w:rsidRDefault="00ED74CE" w:rsidP="00777945">
      <w:pPr>
        <w:spacing w:after="160" w:line="278" w:lineRule="auto"/>
        <w:rPr>
          <w:sz w:val="22"/>
          <w:szCs w:val="22"/>
          <w:lang w:val="fr-FR"/>
        </w:rPr>
      </w:pPr>
      <w:r w:rsidRPr="00ED74CE">
        <w:rPr>
          <w:sz w:val="22"/>
          <w:szCs w:val="22"/>
          <w:lang w:val="fr-FR"/>
        </w:rPr>
        <w:t xml:space="preserve">Il existe néanmoins un cœur commun à ces différentes acceptions : la violence doit être pensée comme une expérience incarnée, renvoyant à la vulnérabilité ontologique de l’être humain, c’est-à-dire à la possibilité toujours présente d’être </w:t>
      </w:r>
      <w:proofErr w:type="spellStart"/>
      <w:r w:rsidRPr="00ED74CE">
        <w:rPr>
          <w:sz w:val="22"/>
          <w:szCs w:val="22"/>
          <w:lang w:val="fr-FR"/>
        </w:rPr>
        <w:t>blessé·e</w:t>
      </w:r>
      <w:proofErr w:type="spellEnd"/>
      <w:r w:rsidRPr="00ED74CE">
        <w:rPr>
          <w:sz w:val="22"/>
          <w:szCs w:val="22"/>
          <w:lang w:val="fr-FR"/>
        </w:rPr>
        <w:t xml:space="preserve"> ou de mourir. Rapportée à la mobilité, la violence peut dès lors être envisagée à la fois comme un facteur de mise en mouvement, dans le cas d’une fuite par exemple et, comme un risque inhérent à la mobilité elle-même, notamment dans le cas des personnes en migration. Dans les deux cas, les corps exposés à la violence doivent être replacés dans un espace marqué par des rapports de domination, qui déterminent les possibilités et les formes de la mobilité.</w:t>
      </w:r>
    </w:p>
    <w:p w14:paraId="5D552EDB" w14:textId="5D6DF99B" w:rsidR="00ED74CE" w:rsidRPr="00ED74CE" w:rsidRDefault="00ED74CE" w:rsidP="00ED74CE">
      <w:pPr>
        <w:pStyle w:val="Titre2"/>
      </w:pPr>
      <w:r w:rsidRPr="00ED74CE">
        <w:t>Violence : le corps, à toutes les échelles</w:t>
      </w:r>
    </w:p>
    <w:p w14:paraId="2267B300" w14:textId="77777777" w:rsidR="00ED74CE" w:rsidRPr="00ED74CE" w:rsidRDefault="00ED74CE" w:rsidP="00ED74CE">
      <w:pPr>
        <w:spacing w:after="160" w:line="278" w:lineRule="auto"/>
        <w:rPr>
          <w:sz w:val="22"/>
          <w:szCs w:val="22"/>
          <w:lang w:val="fr-FR"/>
        </w:rPr>
      </w:pPr>
      <w:r w:rsidRPr="00ED74CE">
        <w:rPr>
          <w:sz w:val="22"/>
          <w:szCs w:val="22"/>
          <w:lang w:val="fr-FR"/>
        </w:rPr>
        <w:t xml:space="preserve">Jan </w:t>
      </w:r>
      <w:proofErr w:type="spellStart"/>
      <w:r w:rsidRPr="00ED74CE">
        <w:rPr>
          <w:sz w:val="22"/>
          <w:szCs w:val="22"/>
          <w:lang w:val="fr-FR"/>
        </w:rPr>
        <w:t>Philipp</w:t>
      </w:r>
      <w:proofErr w:type="spellEnd"/>
      <w:r w:rsidRPr="00ED74CE">
        <w:rPr>
          <w:sz w:val="22"/>
          <w:szCs w:val="22"/>
          <w:lang w:val="fr-FR"/>
        </w:rPr>
        <w:t xml:space="preserve"> </w:t>
      </w:r>
      <w:proofErr w:type="spellStart"/>
      <w:r w:rsidRPr="00ED74CE">
        <w:rPr>
          <w:sz w:val="22"/>
          <w:szCs w:val="22"/>
          <w:lang w:val="fr-FR"/>
        </w:rPr>
        <w:t>Reemtsma</w:t>
      </w:r>
      <w:proofErr w:type="spellEnd"/>
      <w:r w:rsidRPr="00ED74CE">
        <w:rPr>
          <w:sz w:val="22"/>
          <w:szCs w:val="22"/>
          <w:lang w:val="fr-FR"/>
        </w:rPr>
        <w:t xml:space="preserve">, dans son ouvrage </w:t>
      </w:r>
      <w:r w:rsidRPr="00ED74CE">
        <w:rPr>
          <w:i/>
          <w:sz w:val="22"/>
          <w:szCs w:val="22"/>
          <w:lang w:val="fr-FR"/>
        </w:rPr>
        <w:t xml:space="preserve">Confiance et violence : essai sur une configuration particulière de la modernité </w:t>
      </w:r>
      <w:r w:rsidRPr="00ED74CE">
        <w:rPr>
          <w:sz w:val="22"/>
          <w:szCs w:val="22"/>
          <w:lang w:val="fr-FR"/>
        </w:rPr>
        <w:t xml:space="preserve">(2008), définit la violence comme étant avant tout une atteinte portée au corps d’autrui. Il insiste sur la précision « avant tout » pour indiquer que, si la violence physique n’est pas l’unique forme de violence, </w:t>
      </w:r>
      <w:r w:rsidRPr="00ED74CE">
        <w:rPr>
          <w:sz w:val="22"/>
          <w:szCs w:val="22"/>
          <w:lang w:val="fr-FR"/>
        </w:rPr>
        <w:lastRenderedPageBreak/>
        <w:t xml:space="preserve">elle en est le point de référence. Lorsque l’on menace de vous tuer, votre corps est bien en jeu, puisque c’est lui qui se trouve potentiellement détruit, et il est difficile de dire qu’il ne s’agit là que d’une violence </w:t>
      </w:r>
    </w:p>
    <w:p w14:paraId="7131285E" w14:textId="071049B7" w:rsidR="00ED74CE" w:rsidRPr="00ED74CE" w:rsidRDefault="00ED74CE" w:rsidP="00ED74CE">
      <w:pPr>
        <w:spacing w:after="160" w:line="278" w:lineRule="auto"/>
        <w:rPr>
          <w:sz w:val="22"/>
          <w:szCs w:val="22"/>
          <w:lang w:val="fr-FR"/>
        </w:rPr>
      </w:pPr>
      <w:r w:rsidRPr="00ED74CE">
        <w:rPr>
          <w:sz w:val="22"/>
          <w:szCs w:val="22"/>
          <w:lang w:val="fr-FR"/>
        </w:rPr>
        <w:t xml:space="preserve">« </w:t>
      </w:r>
      <w:proofErr w:type="gramStart"/>
      <w:r w:rsidRPr="00ED74CE">
        <w:rPr>
          <w:sz w:val="22"/>
          <w:szCs w:val="22"/>
          <w:lang w:val="fr-FR"/>
        </w:rPr>
        <w:t>psychologique</w:t>
      </w:r>
      <w:proofErr w:type="gramEnd"/>
      <w:r w:rsidRPr="00ED74CE">
        <w:rPr>
          <w:sz w:val="22"/>
          <w:szCs w:val="22"/>
          <w:lang w:val="fr-FR"/>
        </w:rPr>
        <w:t xml:space="preserve"> ». Cela conduit le philosophe à distinguer trois types de violence qui sont, dans chacun des cas, des types d’actes faits au corps d’autrui : la </w:t>
      </w:r>
      <w:r w:rsidRPr="00ED74CE">
        <w:rPr>
          <w:i/>
          <w:sz w:val="22"/>
          <w:szCs w:val="22"/>
          <w:lang w:val="fr-FR"/>
        </w:rPr>
        <w:t xml:space="preserve">violence </w:t>
      </w:r>
      <w:proofErr w:type="spellStart"/>
      <w:r w:rsidRPr="00ED74CE">
        <w:rPr>
          <w:i/>
          <w:sz w:val="22"/>
          <w:szCs w:val="22"/>
          <w:lang w:val="fr-FR"/>
        </w:rPr>
        <w:t>localisante</w:t>
      </w:r>
      <w:proofErr w:type="spellEnd"/>
      <w:r w:rsidRPr="00ED74CE">
        <w:rPr>
          <w:sz w:val="22"/>
          <w:szCs w:val="22"/>
          <w:lang w:val="fr-FR"/>
        </w:rPr>
        <w:t xml:space="preserve">, qui « ne vise pas le corps d’autrui en tant que tel, mais comme une masse déplaçable », la </w:t>
      </w:r>
      <w:r w:rsidRPr="00ED74CE">
        <w:rPr>
          <w:i/>
          <w:sz w:val="22"/>
          <w:szCs w:val="22"/>
          <w:lang w:val="fr-FR"/>
        </w:rPr>
        <w:t xml:space="preserve">violence </w:t>
      </w:r>
      <w:proofErr w:type="spellStart"/>
      <w:r w:rsidRPr="00ED74CE">
        <w:rPr>
          <w:i/>
          <w:sz w:val="22"/>
          <w:szCs w:val="22"/>
          <w:lang w:val="fr-FR"/>
        </w:rPr>
        <w:t>raptive</w:t>
      </w:r>
      <w:proofErr w:type="spellEnd"/>
      <w:r w:rsidRPr="00ED74CE">
        <w:rPr>
          <w:i/>
          <w:sz w:val="22"/>
          <w:szCs w:val="22"/>
          <w:lang w:val="fr-FR"/>
        </w:rPr>
        <w:t xml:space="preserve"> </w:t>
      </w:r>
      <w:r w:rsidRPr="00ED74CE">
        <w:rPr>
          <w:sz w:val="22"/>
          <w:szCs w:val="22"/>
          <w:lang w:val="fr-FR"/>
        </w:rPr>
        <w:t xml:space="preserve">qui « utilise le corps pour le soumettre à certains actes » et la </w:t>
      </w:r>
      <w:r w:rsidRPr="00ED74CE">
        <w:rPr>
          <w:i/>
          <w:sz w:val="22"/>
          <w:szCs w:val="22"/>
          <w:lang w:val="fr-FR"/>
        </w:rPr>
        <w:t xml:space="preserve">violence autotélique </w:t>
      </w:r>
      <w:r w:rsidRPr="00ED74CE">
        <w:rPr>
          <w:sz w:val="22"/>
          <w:szCs w:val="22"/>
          <w:lang w:val="fr-FR"/>
        </w:rPr>
        <w:t>qui « veut endommager ou détruire le corps</w:t>
      </w:r>
      <w:r>
        <w:rPr>
          <w:sz w:val="22"/>
          <w:szCs w:val="22"/>
          <w:lang w:val="fr-FR"/>
        </w:rPr>
        <w:t> </w:t>
      </w:r>
      <w:r w:rsidRPr="00ED74CE">
        <w:rPr>
          <w:sz w:val="22"/>
          <w:szCs w:val="22"/>
          <w:lang w:val="fr-FR"/>
        </w:rPr>
        <w:t>» (2008, p. 97).</w:t>
      </w:r>
    </w:p>
    <w:p w14:paraId="7B38F5BB" w14:textId="16E89958" w:rsidR="00ED74CE" w:rsidRPr="00ED74CE" w:rsidRDefault="00ED74CE" w:rsidP="00ED74CE">
      <w:pPr>
        <w:spacing w:after="160" w:line="278" w:lineRule="auto"/>
        <w:rPr>
          <w:sz w:val="22"/>
          <w:szCs w:val="22"/>
          <w:lang w:val="fr-FR"/>
        </w:rPr>
      </w:pPr>
      <w:r w:rsidRPr="00ED74CE">
        <w:rPr>
          <w:sz w:val="22"/>
          <w:szCs w:val="22"/>
          <w:lang w:val="fr-FR"/>
        </w:rPr>
        <w:t xml:space="preserve">L’idée qu’il existe une violence spécifiquement </w:t>
      </w:r>
      <w:proofErr w:type="spellStart"/>
      <w:r w:rsidRPr="00ED74CE">
        <w:rPr>
          <w:i/>
          <w:sz w:val="22"/>
          <w:szCs w:val="22"/>
          <w:lang w:val="fr-FR"/>
        </w:rPr>
        <w:t>localisante</w:t>
      </w:r>
      <w:proofErr w:type="spellEnd"/>
      <w:r w:rsidRPr="00ED74CE">
        <w:rPr>
          <w:i/>
          <w:sz w:val="22"/>
          <w:szCs w:val="22"/>
          <w:lang w:val="fr-FR"/>
        </w:rPr>
        <w:t xml:space="preserve"> </w:t>
      </w:r>
      <w:r w:rsidRPr="00ED74CE">
        <w:rPr>
          <w:sz w:val="22"/>
          <w:szCs w:val="22"/>
          <w:lang w:val="fr-FR"/>
        </w:rPr>
        <w:t xml:space="preserve">est intéressante pour les géographes parce qu’elle permet d’appréhender de manière théorique l’articulation entre la violence et les pratiques spatiales, y compris en mobilité. Dans la violence </w:t>
      </w:r>
      <w:proofErr w:type="spellStart"/>
      <w:r w:rsidRPr="00ED74CE">
        <w:rPr>
          <w:sz w:val="22"/>
          <w:szCs w:val="22"/>
          <w:lang w:val="fr-FR"/>
        </w:rPr>
        <w:t>localisante</w:t>
      </w:r>
      <w:proofErr w:type="spellEnd"/>
      <w:r w:rsidRPr="00ED74CE">
        <w:rPr>
          <w:sz w:val="22"/>
          <w:szCs w:val="22"/>
          <w:lang w:val="fr-FR"/>
        </w:rPr>
        <w:t>, le corps peut être envisagé comme une masse qu’il s’agit soit d’écarter, soit de déplacer et de maintenir dans un endroit précis (</w:t>
      </w:r>
      <w:proofErr w:type="spellStart"/>
      <w:r w:rsidRPr="00ED74CE">
        <w:rPr>
          <w:sz w:val="22"/>
          <w:szCs w:val="22"/>
          <w:lang w:val="fr-FR"/>
        </w:rPr>
        <w:t>Reemtsma</w:t>
      </w:r>
      <w:proofErr w:type="spellEnd"/>
      <w:r w:rsidRPr="00ED74CE">
        <w:rPr>
          <w:sz w:val="22"/>
          <w:szCs w:val="22"/>
          <w:lang w:val="fr-FR"/>
        </w:rPr>
        <w:t xml:space="preserve">, 2008, p. 97). La violence engage donc une mobilisation </w:t>
      </w:r>
      <w:r w:rsidRPr="00ED74CE">
        <w:rPr>
          <w:i/>
          <w:sz w:val="22"/>
          <w:szCs w:val="22"/>
          <w:lang w:val="fr-FR"/>
        </w:rPr>
        <w:t xml:space="preserve">et </w:t>
      </w:r>
      <w:r w:rsidRPr="00ED74CE">
        <w:rPr>
          <w:sz w:val="22"/>
          <w:szCs w:val="22"/>
          <w:lang w:val="fr-FR"/>
        </w:rPr>
        <w:t xml:space="preserve">une immobilisation, à différentes échelles. Ainsi, à une échelle internationale, certains espaces frontaliers – comme les « </w:t>
      </w:r>
      <w:r w:rsidRPr="00ED74CE">
        <w:rPr>
          <w:i/>
          <w:sz w:val="22"/>
          <w:szCs w:val="22"/>
          <w:lang w:val="fr-FR"/>
        </w:rPr>
        <w:t xml:space="preserve">hotspots </w:t>
      </w:r>
      <w:r w:rsidRPr="00ED74CE">
        <w:rPr>
          <w:sz w:val="22"/>
          <w:szCs w:val="22"/>
          <w:lang w:val="fr-FR"/>
        </w:rPr>
        <w:t xml:space="preserve">» - sont envisagés comme des lieux de blocage, de sélection et de renvoi des </w:t>
      </w:r>
      <w:proofErr w:type="spellStart"/>
      <w:r w:rsidRPr="00ED74CE">
        <w:rPr>
          <w:sz w:val="22"/>
          <w:szCs w:val="22"/>
          <w:lang w:val="fr-FR"/>
        </w:rPr>
        <w:t>migrant·es</w:t>
      </w:r>
      <w:proofErr w:type="spellEnd"/>
      <w:r w:rsidRPr="00ED74CE">
        <w:rPr>
          <w:sz w:val="22"/>
          <w:szCs w:val="22"/>
          <w:lang w:val="fr-FR"/>
        </w:rPr>
        <w:t>. Dans ces espaces qualifiés de « systèmes carcéraux » (</w:t>
      </w:r>
      <w:proofErr w:type="spellStart"/>
      <w:r w:rsidRPr="00ED74CE">
        <w:rPr>
          <w:sz w:val="22"/>
          <w:szCs w:val="22"/>
          <w:lang w:val="fr-FR"/>
        </w:rPr>
        <w:t>Pallister</w:t>
      </w:r>
      <w:proofErr w:type="spellEnd"/>
      <w:r w:rsidRPr="00ED74CE">
        <w:rPr>
          <w:sz w:val="22"/>
          <w:szCs w:val="22"/>
          <w:lang w:val="fr-FR"/>
        </w:rPr>
        <w:t>- Wilkins, 2022, p. 357), les personnes ne sont pas autorisées à sortir tant que leur demande d’asile n’a pas été instruite, alors même qu’elles y sont exposées à diverses formes de violences (</w:t>
      </w:r>
      <w:proofErr w:type="spellStart"/>
      <w:r w:rsidRPr="00ED74CE">
        <w:rPr>
          <w:sz w:val="22"/>
          <w:szCs w:val="22"/>
          <w:lang w:val="fr-FR"/>
        </w:rPr>
        <w:t>Schmoll</w:t>
      </w:r>
      <w:proofErr w:type="spellEnd"/>
      <w:r w:rsidRPr="00ED74CE">
        <w:rPr>
          <w:sz w:val="22"/>
          <w:szCs w:val="22"/>
          <w:lang w:val="fr-FR"/>
        </w:rPr>
        <w:t xml:space="preserve">, 2020.). En cas de refus, elles peuvent être renvoyées de force vers leur pays d’origine ou vers un pays tiers. </w:t>
      </w:r>
    </w:p>
    <w:p w14:paraId="53381080" w14:textId="77777777" w:rsidR="00ED74CE" w:rsidRPr="00ED74CE" w:rsidRDefault="00ED74CE" w:rsidP="00ED74CE">
      <w:pPr>
        <w:spacing w:after="160" w:line="278" w:lineRule="auto"/>
        <w:rPr>
          <w:sz w:val="22"/>
          <w:szCs w:val="22"/>
          <w:lang w:val="fr-FR"/>
        </w:rPr>
      </w:pPr>
      <w:r w:rsidRPr="00ED74CE">
        <w:rPr>
          <w:sz w:val="22"/>
          <w:szCs w:val="22"/>
          <w:lang w:val="fr-FR"/>
        </w:rPr>
        <w:t xml:space="preserve">On le voit, ce n’est pas parce que la violence porte sur le corps, directement ou indirectement, qu’elle ne concerne que l’échelle du proche. C’est un point sur lequel insistent Rachel Pain et Lynn </w:t>
      </w:r>
      <w:proofErr w:type="spellStart"/>
      <w:r w:rsidRPr="00ED74CE">
        <w:rPr>
          <w:sz w:val="22"/>
          <w:szCs w:val="22"/>
          <w:lang w:val="fr-FR"/>
        </w:rPr>
        <w:t>Staeheli</w:t>
      </w:r>
      <w:proofErr w:type="spellEnd"/>
      <w:r w:rsidRPr="00ED74CE">
        <w:rPr>
          <w:sz w:val="22"/>
          <w:szCs w:val="22"/>
          <w:lang w:val="fr-FR"/>
        </w:rPr>
        <w:t xml:space="preserve"> (2014) qui récusent l’idée qu’il y aurait des violences locales et banales qui n’auraient rien à voir avec les violences qui adviennent lors de conflits internationaux et qui seraient donc, elles, politiques. Elles invitent à penser l’intime et le géopolitique comme liés, non seulement comme les deux extrêmes d’un continuum scalaire, mais comme deux entités consubstantielles. Les recherches qui envisagent la mobilité à partir de la violence se déploient donc dans un emboitement des échelles : l’étude des mobilités des femmes Roms par exemple interroge à la fois les rapports de domination structurels (de race, de classe, de genre), les rapports de pouvoirs géopolitiques à l’échelle européenne, l’organisation urbaine polarisée entre espaces centraux et marges, et la manière dont les femmes négocient au quotidien la place de leur corps (Peltier, 2023).</w:t>
      </w:r>
    </w:p>
    <w:p w14:paraId="28DDEB39" w14:textId="77777777" w:rsidR="00ED74CE" w:rsidRPr="00ED74CE" w:rsidRDefault="00ED74CE" w:rsidP="00ED74CE">
      <w:pPr>
        <w:spacing w:after="160" w:line="278" w:lineRule="auto"/>
        <w:rPr>
          <w:sz w:val="22"/>
          <w:szCs w:val="22"/>
          <w:lang w:val="fr-FR"/>
        </w:rPr>
      </w:pPr>
      <w:r w:rsidRPr="00ED74CE">
        <w:rPr>
          <w:sz w:val="22"/>
          <w:szCs w:val="22"/>
          <w:lang w:val="fr-FR"/>
        </w:rPr>
        <w:t xml:space="preserve">De même, des travaux ont mis à jour trois différentes échelles de violence auxquelles sont </w:t>
      </w:r>
      <w:proofErr w:type="spellStart"/>
      <w:r w:rsidRPr="00ED74CE">
        <w:rPr>
          <w:sz w:val="22"/>
          <w:szCs w:val="22"/>
          <w:lang w:val="fr-FR"/>
        </w:rPr>
        <w:t>soumis·es</w:t>
      </w:r>
      <w:proofErr w:type="spellEnd"/>
      <w:r w:rsidRPr="00ED74CE">
        <w:rPr>
          <w:sz w:val="22"/>
          <w:szCs w:val="22"/>
          <w:lang w:val="fr-FR"/>
        </w:rPr>
        <w:t xml:space="preserve"> les migrants et les migrantes : Amalia </w:t>
      </w:r>
      <w:proofErr w:type="spellStart"/>
      <w:r w:rsidRPr="00ED74CE">
        <w:rPr>
          <w:sz w:val="22"/>
          <w:szCs w:val="22"/>
          <w:lang w:val="fr-FR"/>
        </w:rPr>
        <w:t>Gilodi</w:t>
      </w:r>
      <w:proofErr w:type="spellEnd"/>
      <w:r w:rsidRPr="00ED74CE">
        <w:rPr>
          <w:sz w:val="22"/>
          <w:szCs w:val="22"/>
          <w:lang w:val="fr-FR"/>
        </w:rPr>
        <w:t xml:space="preserve">, Isabelle Albert et </w:t>
      </w:r>
      <w:proofErr w:type="spellStart"/>
      <w:r w:rsidRPr="00ED74CE">
        <w:rPr>
          <w:sz w:val="22"/>
          <w:szCs w:val="22"/>
          <w:lang w:val="fr-FR"/>
        </w:rPr>
        <w:t>Birte</w:t>
      </w:r>
      <w:proofErr w:type="spellEnd"/>
      <w:r w:rsidRPr="00ED74CE">
        <w:rPr>
          <w:sz w:val="22"/>
          <w:szCs w:val="22"/>
          <w:lang w:val="fr-FR"/>
        </w:rPr>
        <w:t xml:space="preserve"> </w:t>
      </w:r>
      <w:proofErr w:type="spellStart"/>
      <w:r w:rsidRPr="00ED74CE">
        <w:rPr>
          <w:sz w:val="22"/>
          <w:szCs w:val="22"/>
          <w:lang w:val="fr-FR"/>
        </w:rPr>
        <w:t>Nienaber</w:t>
      </w:r>
      <w:proofErr w:type="spellEnd"/>
      <w:r w:rsidRPr="00ED74CE">
        <w:rPr>
          <w:sz w:val="22"/>
          <w:szCs w:val="22"/>
          <w:lang w:val="fr-FR"/>
        </w:rPr>
        <w:t xml:space="preserve"> (2022) distinguent ainsi une échelle macro, liée aux acteurs de la gouvernance des migrations, comme l’Union européenne ou le monde humanitaire, une échelle méso mettant en scène les intermédiaires de la migration qui participent à reconfigurer la frontière dans leurs pratiques quotidiennes et enfin, une échelle micro qui s’intéresse aux expériences spécifiques des </w:t>
      </w:r>
      <w:proofErr w:type="spellStart"/>
      <w:r w:rsidRPr="00ED74CE">
        <w:rPr>
          <w:sz w:val="22"/>
          <w:szCs w:val="22"/>
          <w:lang w:val="fr-FR"/>
        </w:rPr>
        <w:t>migrant·es</w:t>
      </w:r>
      <w:proofErr w:type="spellEnd"/>
      <w:r w:rsidRPr="00ED74CE">
        <w:rPr>
          <w:sz w:val="22"/>
          <w:szCs w:val="22"/>
          <w:lang w:val="fr-FR"/>
        </w:rPr>
        <w:t xml:space="preserve"> selon la manière dont </w:t>
      </w:r>
      <w:proofErr w:type="spellStart"/>
      <w:r w:rsidRPr="00ED74CE">
        <w:rPr>
          <w:sz w:val="22"/>
          <w:szCs w:val="22"/>
          <w:lang w:val="fr-FR"/>
        </w:rPr>
        <w:t>iels</w:t>
      </w:r>
      <w:proofErr w:type="spellEnd"/>
      <w:r w:rsidRPr="00ED74CE">
        <w:rPr>
          <w:sz w:val="22"/>
          <w:szCs w:val="22"/>
          <w:lang w:val="fr-FR"/>
        </w:rPr>
        <w:t xml:space="preserve"> sont </w:t>
      </w:r>
      <w:proofErr w:type="spellStart"/>
      <w:r w:rsidRPr="00ED74CE">
        <w:rPr>
          <w:sz w:val="22"/>
          <w:szCs w:val="22"/>
          <w:lang w:val="fr-FR"/>
        </w:rPr>
        <w:t>genré·es</w:t>
      </w:r>
      <w:proofErr w:type="spellEnd"/>
      <w:r w:rsidRPr="00ED74CE">
        <w:rPr>
          <w:sz w:val="22"/>
          <w:szCs w:val="22"/>
          <w:lang w:val="fr-FR"/>
        </w:rPr>
        <w:t xml:space="preserve">, </w:t>
      </w:r>
      <w:proofErr w:type="spellStart"/>
      <w:r w:rsidRPr="00ED74CE">
        <w:rPr>
          <w:sz w:val="22"/>
          <w:szCs w:val="22"/>
          <w:lang w:val="fr-FR"/>
        </w:rPr>
        <w:t>racisé·es</w:t>
      </w:r>
      <w:proofErr w:type="spellEnd"/>
      <w:r w:rsidRPr="00ED74CE">
        <w:rPr>
          <w:sz w:val="22"/>
          <w:szCs w:val="22"/>
          <w:lang w:val="fr-FR"/>
        </w:rPr>
        <w:t xml:space="preserve">, </w:t>
      </w:r>
      <w:proofErr w:type="spellStart"/>
      <w:r w:rsidRPr="00ED74CE">
        <w:rPr>
          <w:sz w:val="22"/>
          <w:szCs w:val="22"/>
          <w:lang w:val="fr-FR"/>
        </w:rPr>
        <w:t>identifié·es</w:t>
      </w:r>
      <w:proofErr w:type="spellEnd"/>
      <w:r w:rsidRPr="00ED74CE">
        <w:rPr>
          <w:sz w:val="22"/>
          <w:szCs w:val="22"/>
          <w:lang w:val="fr-FR"/>
        </w:rPr>
        <w:t xml:space="preserve"> en âge, etc.. Ces échelles sont poreuses et fonctionnent ensemble au sein de ce que les autrices appellent « la </w:t>
      </w:r>
      <w:proofErr w:type="spellStart"/>
      <w:r w:rsidRPr="00ED74CE">
        <w:rPr>
          <w:sz w:val="22"/>
          <w:szCs w:val="22"/>
          <w:lang w:val="fr-FR"/>
        </w:rPr>
        <w:lastRenderedPageBreak/>
        <w:t>vulnérabilisation</w:t>
      </w:r>
      <w:proofErr w:type="spellEnd"/>
      <w:r w:rsidRPr="00ED74CE">
        <w:rPr>
          <w:sz w:val="22"/>
          <w:szCs w:val="22"/>
          <w:lang w:val="fr-FR"/>
        </w:rPr>
        <w:t xml:space="preserve"> », à savoir un processus où les structures macrosociales (les systèmes d’asile) sont implantées à une échelle locale au sein de différentes institutions (police, administration) qui exercent divers types de violences à l’égard des </w:t>
      </w:r>
      <w:proofErr w:type="spellStart"/>
      <w:r w:rsidRPr="00ED74CE">
        <w:rPr>
          <w:sz w:val="22"/>
          <w:szCs w:val="22"/>
          <w:lang w:val="fr-FR"/>
        </w:rPr>
        <w:t>migrant·es</w:t>
      </w:r>
      <w:proofErr w:type="spellEnd"/>
      <w:r w:rsidRPr="00ED74CE">
        <w:rPr>
          <w:sz w:val="22"/>
          <w:szCs w:val="22"/>
          <w:lang w:val="fr-FR"/>
        </w:rPr>
        <w:t xml:space="preserve">. Les politiques et les discours portés par l’Union européenne et par les gouvernements nationaux ont des effets directs sur la manière dont les </w:t>
      </w:r>
      <w:proofErr w:type="spellStart"/>
      <w:r w:rsidRPr="00ED74CE">
        <w:rPr>
          <w:sz w:val="22"/>
          <w:szCs w:val="22"/>
          <w:lang w:val="fr-FR"/>
        </w:rPr>
        <w:t>migrant·es</w:t>
      </w:r>
      <w:proofErr w:type="spellEnd"/>
      <w:r w:rsidRPr="00ED74CE">
        <w:rPr>
          <w:sz w:val="22"/>
          <w:szCs w:val="22"/>
          <w:lang w:val="fr-FR"/>
        </w:rPr>
        <w:t xml:space="preserve"> sont </w:t>
      </w:r>
      <w:proofErr w:type="spellStart"/>
      <w:r w:rsidRPr="00ED74CE">
        <w:rPr>
          <w:sz w:val="22"/>
          <w:szCs w:val="22"/>
          <w:lang w:val="fr-FR"/>
        </w:rPr>
        <w:t>traité·es</w:t>
      </w:r>
      <w:proofErr w:type="spellEnd"/>
      <w:r w:rsidRPr="00ED74CE">
        <w:rPr>
          <w:sz w:val="22"/>
          <w:szCs w:val="22"/>
          <w:lang w:val="fr-FR"/>
        </w:rPr>
        <w:t xml:space="preserve"> par les acteurs de terrain. Ainsi, en 2020, la construction rhétorique d’une « menace migratoire » et d’une « vulnérabilité des frontières » dans les discours de l’agence Frontex, de l’Union européenne et du gouvernement grec a favorisé le déploiement de logiques de sécurisation frontalière. Celles-ci se sont notamment traduites par des pratiques violentes de renvoi en mer en 2020, à la suite de l’annonce par le président turc de l’ouverture de la frontière terrestre avec la Grèce. Cette décision a alimenté la crainte d’une arrivée massive de </w:t>
      </w:r>
      <w:proofErr w:type="spellStart"/>
      <w:r w:rsidRPr="00ED74CE">
        <w:rPr>
          <w:sz w:val="22"/>
          <w:szCs w:val="22"/>
          <w:lang w:val="fr-FR"/>
        </w:rPr>
        <w:t>migrant·es</w:t>
      </w:r>
      <w:proofErr w:type="spellEnd"/>
      <w:r w:rsidRPr="00ED74CE">
        <w:rPr>
          <w:sz w:val="22"/>
          <w:szCs w:val="22"/>
          <w:lang w:val="fr-FR"/>
        </w:rPr>
        <w:t xml:space="preserve"> en Europe, pourtant largement surestimée, ainsi que la peur d’une diffusion accrue du virus de la Covid-19 (Latouche, 2024).</w:t>
      </w:r>
    </w:p>
    <w:p w14:paraId="40D221DF" w14:textId="271FEB49" w:rsidR="00ED74CE" w:rsidRPr="00ED74CE" w:rsidRDefault="00ED74CE" w:rsidP="00ED74CE">
      <w:pPr>
        <w:pStyle w:val="Titre2"/>
      </w:pPr>
      <w:r>
        <w:t>Les</w:t>
      </w:r>
      <w:r w:rsidRPr="00ED74CE">
        <w:t xml:space="preserve"> </w:t>
      </w:r>
      <w:r>
        <w:t>effets</w:t>
      </w:r>
      <w:r w:rsidRPr="00ED74CE">
        <w:t xml:space="preserve"> </w:t>
      </w:r>
      <w:r>
        <w:t>paradoxaux</w:t>
      </w:r>
      <w:r w:rsidRPr="00ED74CE">
        <w:t xml:space="preserve"> </w:t>
      </w:r>
      <w:r>
        <w:t>de</w:t>
      </w:r>
      <w:r w:rsidRPr="00ED74CE">
        <w:t xml:space="preserve"> </w:t>
      </w:r>
      <w:r>
        <w:t>la</w:t>
      </w:r>
      <w:r w:rsidRPr="00ED74CE">
        <w:t xml:space="preserve"> </w:t>
      </w:r>
      <w:r>
        <w:t>violence</w:t>
      </w:r>
      <w:r w:rsidRPr="00ED74CE">
        <w:t xml:space="preserve"> </w:t>
      </w:r>
      <w:r>
        <w:t>:</w:t>
      </w:r>
      <w:r w:rsidRPr="00ED74CE">
        <w:t xml:space="preserve"> </w:t>
      </w:r>
      <w:r>
        <w:t>immobilisation</w:t>
      </w:r>
      <w:r w:rsidRPr="00ED74CE">
        <w:t xml:space="preserve"> </w:t>
      </w:r>
      <w:r>
        <w:t>et</w:t>
      </w:r>
      <w:r w:rsidRPr="00ED74CE">
        <w:t xml:space="preserve"> </w:t>
      </w:r>
      <w:r>
        <w:t>mise</w:t>
      </w:r>
      <w:r w:rsidRPr="00ED74CE">
        <w:t xml:space="preserve"> </w:t>
      </w:r>
      <w:r>
        <w:t>en</w:t>
      </w:r>
      <w:r w:rsidRPr="00ED74CE">
        <w:t xml:space="preserve"> mouvement</w:t>
      </w:r>
    </w:p>
    <w:p w14:paraId="4CA7A89E" w14:textId="77777777" w:rsidR="00ED74CE" w:rsidRPr="00ED74CE" w:rsidRDefault="00ED74CE" w:rsidP="00ED74CE">
      <w:pPr>
        <w:spacing w:after="160" w:line="278" w:lineRule="auto"/>
        <w:rPr>
          <w:sz w:val="22"/>
          <w:szCs w:val="22"/>
          <w:lang w:val="fr-FR"/>
        </w:rPr>
      </w:pPr>
      <w:r w:rsidRPr="00ED74CE">
        <w:rPr>
          <w:sz w:val="22"/>
          <w:szCs w:val="22"/>
          <w:lang w:val="fr-FR"/>
        </w:rPr>
        <w:t>L’état de l’art portant sur l’articulation entre mobilité et violence peut être pensé autour du couple des notions « immobilisation » / « mobilisation » ou « mise en mouvement ».</w:t>
      </w:r>
    </w:p>
    <w:p w14:paraId="56FCA304" w14:textId="77777777" w:rsidR="00ED74CE" w:rsidRPr="00ED74CE" w:rsidRDefault="00ED74CE" w:rsidP="00ED74CE">
      <w:pPr>
        <w:spacing w:after="160" w:line="278" w:lineRule="auto"/>
        <w:rPr>
          <w:sz w:val="22"/>
          <w:szCs w:val="22"/>
          <w:lang w:val="fr-FR"/>
        </w:rPr>
      </w:pPr>
      <w:r w:rsidRPr="00ED74CE">
        <w:rPr>
          <w:sz w:val="22"/>
          <w:szCs w:val="22"/>
          <w:lang w:val="fr-FR"/>
        </w:rPr>
        <w:t xml:space="preserve">D’une part, les travaux scientifiques s’intéressent à la manière dont la violence du pouvoir passe par un contrôle des corps et par une limitation de leur mobilité. L’auteur de violences conjugales impose à sa partenaire des restrictions très précises concernant ses déplacements, qu’il contrôle au moyen de différentes techniques de surveillance spatiale, et qui peuvent aller jusqu’à la séquestration (San Martin Zapatero, 2019 ; </w:t>
      </w:r>
      <w:proofErr w:type="spellStart"/>
      <w:r w:rsidRPr="00ED74CE">
        <w:rPr>
          <w:sz w:val="22"/>
          <w:szCs w:val="22"/>
          <w:lang w:val="fr-FR"/>
        </w:rPr>
        <w:t>Tillous</w:t>
      </w:r>
      <w:proofErr w:type="spellEnd"/>
      <w:r w:rsidRPr="00ED74CE">
        <w:rPr>
          <w:sz w:val="22"/>
          <w:szCs w:val="22"/>
          <w:lang w:val="fr-FR"/>
        </w:rPr>
        <w:t>, 2022). Cette actualisation à l’échelle individuelle de la domination de genre fait écho aux formes de violences que l’on pourrait qualifier de collectives : elles contraignent les personnes dominées en les forçant continuellement à se déplacer pour fuir un harcèlement d’ordre sexuel (</w:t>
      </w:r>
      <w:proofErr w:type="spellStart"/>
      <w:r w:rsidRPr="00ED74CE">
        <w:rPr>
          <w:sz w:val="22"/>
          <w:szCs w:val="22"/>
          <w:lang w:val="fr-FR"/>
        </w:rPr>
        <w:t>Lieber</w:t>
      </w:r>
      <w:proofErr w:type="spellEnd"/>
      <w:r w:rsidRPr="00ED74CE">
        <w:rPr>
          <w:sz w:val="22"/>
          <w:szCs w:val="22"/>
          <w:lang w:val="fr-FR"/>
        </w:rPr>
        <w:t xml:space="preserve">, 2008 ; </w:t>
      </w:r>
      <w:proofErr w:type="spellStart"/>
      <w:r w:rsidRPr="00ED74CE">
        <w:rPr>
          <w:sz w:val="22"/>
          <w:szCs w:val="22"/>
          <w:lang w:val="fr-FR"/>
        </w:rPr>
        <w:t>Graglia</w:t>
      </w:r>
      <w:proofErr w:type="spellEnd"/>
      <w:r w:rsidRPr="00ED74CE">
        <w:rPr>
          <w:sz w:val="22"/>
          <w:szCs w:val="22"/>
          <w:lang w:val="fr-FR"/>
        </w:rPr>
        <w:t>, 2015), homophobe (</w:t>
      </w:r>
      <w:proofErr w:type="spellStart"/>
      <w:r w:rsidRPr="00ED74CE">
        <w:rPr>
          <w:sz w:val="22"/>
          <w:szCs w:val="22"/>
          <w:lang w:val="fr-FR"/>
        </w:rPr>
        <w:t>Zéilinger</w:t>
      </w:r>
      <w:proofErr w:type="spellEnd"/>
      <w:r w:rsidRPr="00ED74CE">
        <w:rPr>
          <w:sz w:val="22"/>
          <w:szCs w:val="22"/>
          <w:lang w:val="fr-FR"/>
        </w:rPr>
        <w:t xml:space="preserve">, 2004) ou transphobe (Bonté, 2022 ; </w:t>
      </w:r>
      <w:proofErr w:type="spellStart"/>
      <w:r w:rsidRPr="00ED74CE">
        <w:rPr>
          <w:sz w:val="22"/>
          <w:szCs w:val="22"/>
          <w:lang w:val="fr-FR"/>
        </w:rPr>
        <w:t>Lubitow</w:t>
      </w:r>
      <w:proofErr w:type="spellEnd"/>
      <w:r w:rsidRPr="00ED74CE">
        <w:rPr>
          <w:sz w:val="22"/>
          <w:szCs w:val="22"/>
          <w:lang w:val="fr-FR"/>
        </w:rPr>
        <w:t xml:space="preserve"> et al., 2017) dans les transports et les espaces publics. Ces violences peuvent être observées de la même manière pour les autres grands rapports de domination tels que ceux liés à la race (Schenk, </w:t>
      </w:r>
      <w:proofErr w:type="spellStart"/>
      <w:r w:rsidRPr="00ED74CE">
        <w:rPr>
          <w:sz w:val="22"/>
          <w:szCs w:val="22"/>
          <w:lang w:val="fr-FR"/>
        </w:rPr>
        <w:t>Gökarıksel</w:t>
      </w:r>
      <w:proofErr w:type="spellEnd"/>
      <w:r w:rsidRPr="00ED74CE">
        <w:rPr>
          <w:sz w:val="22"/>
          <w:szCs w:val="22"/>
          <w:lang w:val="fr-FR"/>
        </w:rPr>
        <w:t xml:space="preserve"> et </w:t>
      </w:r>
      <w:proofErr w:type="spellStart"/>
      <w:r w:rsidRPr="00ED74CE">
        <w:rPr>
          <w:sz w:val="22"/>
          <w:szCs w:val="22"/>
          <w:lang w:val="fr-FR"/>
        </w:rPr>
        <w:t>Behzadi</w:t>
      </w:r>
      <w:proofErr w:type="spellEnd"/>
      <w:r w:rsidRPr="00ED74CE">
        <w:rPr>
          <w:sz w:val="22"/>
          <w:szCs w:val="22"/>
          <w:lang w:val="fr-FR"/>
        </w:rPr>
        <w:t>, 2022), la classe (</w:t>
      </w:r>
      <w:proofErr w:type="spellStart"/>
      <w:r w:rsidRPr="00ED74CE">
        <w:rPr>
          <w:sz w:val="22"/>
          <w:szCs w:val="22"/>
          <w:lang w:val="fr-FR"/>
        </w:rPr>
        <w:t>Jounin</w:t>
      </w:r>
      <w:proofErr w:type="spellEnd"/>
      <w:r w:rsidRPr="00ED74CE">
        <w:rPr>
          <w:sz w:val="22"/>
          <w:szCs w:val="22"/>
          <w:lang w:val="fr-FR"/>
        </w:rPr>
        <w:t>, 2016), le handicap (Goffman, 1963), l’âge (</w:t>
      </w:r>
      <w:proofErr w:type="spellStart"/>
      <w:r w:rsidRPr="00ED74CE">
        <w:rPr>
          <w:sz w:val="22"/>
          <w:szCs w:val="22"/>
          <w:lang w:val="fr-FR"/>
        </w:rPr>
        <w:t>Piterbraut-Merx</w:t>
      </w:r>
      <w:proofErr w:type="spellEnd"/>
      <w:r w:rsidRPr="00ED74CE">
        <w:rPr>
          <w:sz w:val="22"/>
          <w:szCs w:val="22"/>
          <w:lang w:val="fr-FR"/>
        </w:rPr>
        <w:t>, 2024).</w:t>
      </w:r>
    </w:p>
    <w:p w14:paraId="3506C6B1" w14:textId="77777777" w:rsidR="00ED74CE" w:rsidRPr="00ED74CE" w:rsidRDefault="00ED74CE" w:rsidP="00ED74CE">
      <w:pPr>
        <w:spacing w:after="160" w:line="278" w:lineRule="auto"/>
        <w:rPr>
          <w:sz w:val="22"/>
          <w:szCs w:val="22"/>
          <w:lang w:val="fr-FR"/>
        </w:rPr>
      </w:pPr>
      <w:r w:rsidRPr="00ED74CE">
        <w:rPr>
          <w:sz w:val="22"/>
          <w:szCs w:val="22"/>
          <w:lang w:val="fr-FR"/>
        </w:rPr>
        <w:t>Les violences contre un peuple, les violences génocidaires, passent aussi par une contention, une « concentration », une coercition. On pourrait ici évoquer les camps de l’empire ottoman implantés au cœur du désert syrien dans les années 1910 dans le cadre du génocide arménien (</w:t>
      </w:r>
      <w:proofErr w:type="spellStart"/>
      <w:r w:rsidRPr="00ED74CE">
        <w:rPr>
          <w:sz w:val="22"/>
          <w:szCs w:val="22"/>
          <w:lang w:val="fr-FR"/>
        </w:rPr>
        <w:t>Kévorkian</w:t>
      </w:r>
      <w:proofErr w:type="spellEnd"/>
      <w:r w:rsidRPr="00ED74CE">
        <w:rPr>
          <w:sz w:val="22"/>
          <w:szCs w:val="22"/>
          <w:lang w:val="fr-FR"/>
        </w:rPr>
        <w:t>, 2006), les camps de travaux forcés des Khmers rouges liés au génocide cambodgien à la fin des années 1970 (</w:t>
      </w:r>
      <w:proofErr w:type="spellStart"/>
      <w:r w:rsidRPr="00ED74CE">
        <w:rPr>
          <w:sz w:val="22"/>
          <w:szCs w:val="22"/>
          <w:lang w:val="fr-FR"/>
        </w:rPr>
        <w:t>Phay-Vakalis</w:t>
      </w:r>
      <w:proofErr w:type="spellEnd"/>
      <w:r w:rsidRPr="00ED74CE">
        <w:rPr>
          <w:sz w:val="22"/>
          <w:szCs w:val="22"/>
          <w:lang w:val="fr-FR"/>
        </w:rPr>
        <w:t>, 2008), ou encore les camps de détention des forces serbes au début des années 1990 en Bosnie (</w:t>
      </w:r>
      <w:proofErr w:type="spellStart"/>
      <w:r w:rsidRPr="00ED74CE">
        <w:rPr>
          <w:sz w:val="22"/>
          <w:szCs w:val="22"/>
          <w:lang w:val="fr-FR"/>
        </w:rPr>
        <w:t>Bloxham</w:t>
      </w:r>
      <w:proofErr w:type="spellEnd"/>
      <w:r w:rsidRPr="00ED74CE">
        <w:rPr>
          <w:sz w:val="22"/>
          <w:szCs w:val="22"/>
          <w:lang w:val="fr-FR"/>
        </w:rPr>
        <w:t xml:space="preserve"> et Moses (</w:t>
      </w:r>
      <w:proofErr w:type="spellStart"/>
      <w:r w:rsidRPr="00ED74CE">
        <w:rPr>
          <w:sz w:val="22"/>
          <w:szCs w:val="22"/>
          <w:lang w:val="fr-FR"/>
        </w:rPr>
        <w:t>dir</w:t>
      </w:r>
      <w:proofErr w:type="spellEnd"/>
      <w:r w:rsidRPr="00ED74CE">
        <w:rPr>
          <w:sz w:val="22"/>
          <w:szCs w:val="22"/>
          <w:lang w:val="fr-FR"/>
        </w:rPr>
        <w:t xml:space="preserve">.), 2010 respectivement Chap. 18, 22 et 25). Les violences peuvent se déployer à l’échelle d’un territoire entier au travers des politiques de ségrégation, des bantoustans de l’Afrique du Sud au temps de l’apartheid, aux enclaves palestiniennes de Cisjordanie et de Gaza. Les nombreuses </w:t>
      </w:r>
      <w:r w:rsidRPr="00ED74CE">
        <w:rPr>
          <w:sz w:val="22"/>
          <w:szCs w:val="22"/>
          <w:lang w:val="fr-FR"/>
        </w:rPr>
        <w:lastRenderedPageBreak/>
        <w:t xml:space="preserve">migrations des </w:t>
      </w:r>
      <w:proofErr w:type="spellStart"/>
      <w:r w:rsidRPr="00ED74CE">
        <w:rPr>
          <w:sz w:val="22"/>
          <w:szCs w:val="22"/>
          <w:lang w:val="fr-FR"/>
        </w:rPr>
        <w:t>Palestien.nes</w:t>
      </w:r>
      <w:proofErr w:type="spellEnd"/>
      <w:r w:rsidRPr="00ED74CE">
        <w:rPr>
          <w:sz w:val="22"/>
          <w:szCs w:val="22"/>
          <w:lang w:val="fr-FR"/>
        </w:rPr>
        <w:t xml:space="preserve"> montrent que la violence </w:t>
      </w:r>
      <w:proofErr w:type="spellStart"/>
      <w:r w:rsidRPr="00ED74CE">
        <w:rPr>
          <w:sz w:val="22"/>
          <w:szCs w:val="22"/>
          <w:lang w:val="fr-FR"/>
        </w:rPr>
        <w:t>localisante</w:t>
      </w:r>
      <w:proofErr w:type="spellEnd"/>
      <w:r w:rsidRPr="00ED74CE">
        <w:rPr>
          <w:sz w:val="22"/>
          <w:szCs w:val="22"/>
          <w:lang w:val="fr-FR"/>
        </w:rPr>
        <w:t xml:space="preserve"> va de pair avec la violence </w:t>
      </w:r>
      <w:proofErr w:type="spellStart"/>
      <w:r w:rsidRPr="00ED74CE">
        <w:rPr>
          <w:sz w:val="22"/>
          <w:szCs w:val="22"/>
          <w:lang w:val="fr-FR"/>
        </w:rPr>
        <w:t>délocalisante</w:t>
      </w:r>
      <w:proofErr w:type="spellEnd"/>
      <w:r w:rsidRPr="00ED74CE">
        <w:rPr>
          <w:sz w:val="22"/>
          <w:szCs w:val="22"/>
          <w:lang w:val="fr-FR"/>
        </w:rPr>
        <w:t xml:space="preserve">, et que les populations peuvent être poussées </w:t>
      </w:r>
      <w:proofErr w:type="gramStart"/>
      <w:r w:rsidRPr="00ED74CE">
        <w:rPr>
          <w:sz w:val="22"/>
          <w:szCs w:val="22"/>
          <w:lang w:val="fr-FR"/>
        </w:rPr>
        <w:t>au départ voire déplacées</w:t>
      </w:r>
      <w:proofErr w:type="gramEnd"/>
      <w:r w:rsidRPr="00ED74CE">
        <w:rPr>
          <w:sz w:val="22"/>
          <w:szCs w:val="22"/>
          <w:lang w:val="fr-FR"/>
        </w:rPr>
        <w:t xml:space="preserve"> de force. Les recherches portant sur les migrations pour motifs politiques</w:t>
      </w:r>
      <w:r w:rsidRPr="00ED74CE">
        <w:rPr>
          <w:sz w:val="22"/>
          <w:szCs w:val="22"/>
          <w:lang w:val="fr-FR"/>
        </w:rPr>
        <w:footnoteReference w:id="1"/>
      </w:r>
      <w:r w:rsidRPr="00ED74CE">
        <w:rPr>
          <w:sz w:val="22"/>
          <w:szCs w:val="22"/>
          <w:lang w:val="fr-FR"/>
        </w:rPr>
        <w:t xml:space="preserve"> (par des </w:t>
      </w:r>
      <w:proofErr w:type="spellStart"/>
      <w:r w:rsidRPr="00ED74CE">
        <w:rPr>
          <w:sz w:val="22"/>
          <w:szCs w:val="22"/>
          <w:lang w:val="fr-FR"/>
        </w:rPr>
        <w:t>opposant·es</w:t>
      </w:r>
      <w:proofErr w:type="spellEnd"/>
      <w:r w:rsidRPr="00ED74CE">
        <w:rPr>
          <w:sz w:val="22"/>
          <w:szCs w:val="22"/>
          <w:lang w:val="fr-FR"/>
        </w:rPr>
        <w:t xml:space="preserve"> au régime en place, des membres d’une minorité ethnique menacée, des personnes LGBT, des femmes menacées d’excision, par exemple) ont en outre bien montré que la migration ne protège jamais avec certitude de la violence (Bank, </w:t>
      </w:r>
      <w:proofErr w:type="spellStart"/>
      <w:r w:rsidRPr="00ED74CE">
        <w:rPr>
          <w:sz w:val="22"/>
          <w:szCs w:val="22"/>
          <w:lang w:val="fr-FR"/>
        </w:rPr>
        <w:t>Fröhlich</w:t>
      </w:r>
      <w:proofErr w:type="spellEnd"/>
      <w:r w:rsidRPr="00ED74CE">
        <w:rPr>
          <w:sz w:val="22"/>
          <w:szCs w:val="22"/>
          <w:lang w:val="fr-FR"/>
        </w:rPr>
        <w:t xml:space="preserve"> et </w:t>
      </w:r>
      <w:proofErr w:type="spellStart"/>
      <w:r w:rsidRPr="00ED74CE">
        <w:rPr>
          <w:sz w:val="22"/>
          <w:szCs w:val="22"/>
          <w:lang w:val="fr-FR"/>
        </w:rPr>
        <w:t>Schneiker</w:t>
      </w:r>
      <w:proofErr w:type="spellEnd"/>
      <w:r w:rsidRPr="00ED74CE">
        <w:rPr>
          <w:sz w:val="22"/>
          <w:szCs w:val="22"/>
          <w:lang w:val="fr-FR"/>
        </w:rPr>
        <w:t xml:space="preserve">, 2017). Plusieurs raisons peuvent être évoquées pour expliquer cet état de fait : la violence jalonne le parcours des </w:t>
      </w:r>
      <w:proofErr w:type="spellStart"/>
      <w:r w:rsidRPr="00ED74CE">
        <w:rPr>
          <w:sz w:val="22"/>
          <w:szCs w:val="22"/>
          <w:lang w:val="fr-FR"/>
        </w:rPr>
        <w:t>migrant·es</w:t>
      </w:r>
      <w:proofErr w:type="spellEnd"/>
      <w:r w:rsidRPr="00ED74CE">
        <w:rPr>
          <w:sz w:val="22"/>
          <w:szCs w:val="22"/>
          <w:lang w:val="fr-FR"/>
        </w:rPr>
        <w:t xml:space="preserve"> (</w:t>
      </w:r>
      <w:proofErr w:type="spellStart"/>
      <w:r w:rsidRPr="00ED74CE">
        <w:rPr>
          <w:sz w:val="22"/>
          <w:szCs w:val="22"/>
          <w:lang w:val="fr-FR"/>
        </w:rPr>
        <w:t>Schmoll</w:t>
      </w:r>
      <w:proofErr w:type="spellEnd"/>
      <w:r w:rsidRPr="00ED74CE">
        <w:rPr>
          <w:sz w:val="22"/>
          <w:szCs w:val="22"/>
          <w:lang w:val="fr-FR"/>
        </w:rPr>
        <w:t>, 2020) et les touche dans leur corps et leur intimité (</w:t>
      </w:r>
      <w:proofErr w:type="spellStart"/>
      <w:r w:rsidRPr="00ED74CE">
        <w:rPr>
          <w:sz w:val="22"/>
          <w:szCs w:val="22"/>
          <w:lang w:val="fr-FR"/>
        </w:rPr>
        <w:t>Guenebeaud</w:t>
      </w:r>
      <w:proofErr w:type="spellEnd"/>
      <w:r w:rsidRPr="00ED74CE">
        <w:rPr>
          <w:sz w:val="22"/>
          <w:szCs w:val="22"/>
          <w:lang w:val="fr-FR"/>
        </w:rPr>
        <w:t xml:space="preserve">, 2016 ; </w:t>
      </w:r>
      <w:proofErr w:type="spellStart"/>
      <w:r w:rsidRPr="00ED74CE">
        <w:rPr>
          <w:sz w:val="22"/>
          <w:szCs w:val="22"/>
          <w:lang w:val="fr-FR"/>
        </w:rPr>
        <w:t>Tyszler</w:t>
      </w:r>
      <w:proofErr w:type="spellEnd"/>
      <w:r w:rsidRPr="00ED74CE">
        <w:rPr>
          <w:sz w:val="22"/>
          <w:szCs w:val="22"/>
          <w:lang w:val="fr-FR"/>
        </w:rPr>
        <w:t>, 2024), elle est présente aussi, peut-être sous une autre forme, dans le pays d’accueil (xénophobie ; violences policières) et parce que les communautés diasporiques peuvent elles-mêmes être sources de violences (</w:t>
      </w:r>
      <w:proofErr w:type="spellStart"/>
      <w:r w:rsidRPr="00ED74CE">
        <w:rPr>
          <w:sz w:val="22"/>
          <w:szCs w:val="22"/>
          <w:lang w:val="fr-FR"/>
        </w:rPr>
        <w:t>Chossière</w:t>
      </w:r>
      <w:proofErr w:type="spellEnd"/>
      <w:r w:rsidRPr="00ED74CE">
        <w:rPr>
          <w:sz w:val="22"/>
          <w:szCs w:val="22"/>
          <w:lang w:val="fr-FR"/>
        </w:rPr>
        <w:t>, 2022). Ce qui est vrai à l’échelle internationale, l’est aussi dans le cas des migrations nationales par exemple les départs vers la ville des personnes LGBT, qui a longtemps été un « refuge des sexualités minoritaires » (Cattan et Leroy, 2013), avec ses revers décryptés et analysés dans des travaux récents (</w:t>
      </w:r>
      <w:proofErr w:type="spellStart"/>
      <w:r w:rsidRPr="00ED74CE">
        <w:rPr>
          <w:sz w:val="22"/>
          <w:szCs w:val="22"/>
          <w:lang w:val="fr-FR"/>
        </w:rPr>
        <w:t>Blidon</w:t>
      </w:r>
      <w:proofErr w:type="spellEnd"/>
      <w:r w:rsidRPr="00ED74CE">
        <w:rPr>
          <w:sz w:val="22"/>
          <w:szCs w:val="22"/>
          <w:lang w:val="fr-FR"/>
        </w:rPr>
        <w:t>, 2021 ; Bonté, 2025).</w:t>
      </w:r>
    </w:p>
    <w:p w14:paraId="60013FE7" w14:textId="77777777" w:rsidR="00ED74CE" w:rsidRPr="00ED74CE" w:rsidRDefault="00ED74CE" w:rsidP="00ED74CE">
      <w:pPr>
        <w:spacing w:after="160" w:line="278" w:lineRule="auto"/>
        <w:rPr>
          <w:sz w:val="22"/>
          <w:szCs w:val="22"/>
          <w:lang w:val="fr-FR"/>
        </w:rPr>
      </w:pPr>
      <w:r w:rsidRPr="00ED74CE">
        <w:rPr>
          <w:sz w:val="22"/>
          <w:szCs w:val="22"/>
          <w:lang w:val="fr-FR"/>
        </w:rPr>
        <w:t>L’exposition à la violence met donc en mouvement. Elle peut conduire à la fuite (</w:t>
      </w:r>
      <w:proofErr w:type="spellStart"/>
      <w:r w:rsidRPr="00ED74CE">
        <w:rPr>
          <w:sz w:val="22"/>
          <w:szCs w:val="22"/>
          <w:lang w:val="fr-FR"/>
        </w:rPr>
        <w:t>fight</w:t>
      </w:r>
      <w:proofErr w:type="spellEnd"/>
      <w:r w:rsidRPr="00ED74CE">
        <w:rPr>
          <w:sz w:val="22"/>
          <w:szCs w:val="22"/>
          <w:lang w:val="fr-FR"/>
        </w:rPr>
        <w:t xml:space="preserve"> or flight) qui n’est pas seulement un mouvement d’un point A à un point B, mais engage la personne dans un nouveau rapport au monde, un état d’attention constant à ce qui pourrait entraver à nouveau sa liberté (</w:t>
      </w:r>
      <w:proofErr w:type="spellStart"/>
      <w:r w:rsidRPr="00ED74CE">
        <w:rPr>
          <w:sz w:val="22"/>
          <w:szCs w:val="22"/>
          <w:lang w:val="fr-FR"/>
        </w:rPr>
        <w:t>Hanff</w:t>
      </w:r>
      <w:proofErr w:type="spellEnd"/>
      <w:r w:rsidRPr="00ED74CE">
        <w:rPr>
          <w:sz w:val="22"/>
          <w:szCs w:val="22"/>
          <w:lang w:val="fr-FR"/>
        </w:rPr>
        <w:t>, 2023). D’autant que la fuite, ou la tentative de fuir, accentuent l’exposition à la violence, comme le montrent les recherches sur les interventions policières aux États-Unis (Crawford et Burns, 1998) ou celles qui tentent de comprendre les raisons du féminicide par un conjoint violent. Mais il semble qu’au-delà même de la fuite, la violence engage le mouvement, un mouvement qui n’a peut-être plus rien à voir avec la mise en sécurité, comme une impossibilité à rester en place, une urgence à quitter les lieux, à s’éloigner d’un familier violent, encore et encore (Le Blanc, 2018).</w:t>
      </w:r>
    </w:p>
    <w:p w14:paraId="17D68545" w14:textId="77777777" w:rsidR="00ED74CE" w:rsidRDefault="00ED74CE" w:rsidP="00ED74CE">
      <w:pPr>
        <w:pStyle w:val="Titre2"/>
      </w:pPr>
      <w:r>
        <w:t>Qui</w:t>
      </w:r>
      <w:r w:rsidRPr="00ED74CE">
        <w:t xml:space="preserve"> </w:t>
      </w:r>
      <w:r>
        <w:t>peut</w:t>
      </w:r>
      <w:r w:rsidRPr="00ED74CE">
        <w:t xml:space="preserve"> </w:t>
      </w:r>
      <w:r>
        <w:t>parler</w:t>
      </w:r>
      <w:r w:rsidRPr="00ED74CE">
        <w:t xml:space="preserve"> </w:t>
      </w:r>
      <w:r>
        <w:t>de</w:t>
      </w:r>
      <w:r w:rsidRPr="00ED74CE">
        <w:t xml:space="preserve"> </w:t>
      </w:r>
      <w:r>
        <w:t>«</w:t>
      </w:r>
      <w:r w:rsidRPr="00ED74CE">
        <w:t xml:space="preserve"> </w:t>
      </w:r>
      <w:r>
        <w:t>violence</w:t>
      </w:r>
      <w:r w:rsidRPr="00ED74CE">
        <w:t xml:space="preserve"> </w:t>
      </w:r>
      <w:r>
        <w:t>»</w:t>
      </w:r>
      <w:r w:rsidRPr="00ED74CE">
        <w:t xml:space="preserve"> ?</w:t>
      </w:r>
    </w:p>
    <w:p w14:paraId="123362CA" w14:textId="09F676F9" w:rsidR="00ED74CE" w:rsidRPr="00ED74CE" w:rsidRDefault="00ED74CE" w:rsidP="00ED74CE">
      <w:pPr>
        <w:spacing w:after="160" w:line="278" w:lineRule="auto"/>
        <w:rPr>
          <w:sz w:val="22"/>
          <w:szCs w:val="22"/>
          <w:lang w:val="fr-FR"/>
        </w:rPr>
      </w:pPr>
      <w:r w:rsidRPr="00ED74CE">
        <w:rPr>
          <w:sz w:val="22"/>
          <w:szCs w:val="22"/>
          <w:lang w:val="fr-FR"/>
        </w:rPr>
        <w:t>Si la notion de « violence » semble aller de soi, elle demeure en réalité particulièrement ambivalente et sujette à des interprétations multiples. Par exemple, l’usage de la force coercitive par la police n’est généralement pas perçu comme une forme de violence, puisqu’il vise précisément à maintenir ou rétablir un ordre social contre ce qui s’écarte du droit (</w:t>
      </w:r>
      <w:proofErr w:type="spellStart"/>
      <w:r w:rsidRPr="00ED74CE">
        <w:rPr>
          <w:sz w:val="22"/>
          <w:szCs w:val="22"/>
          <w:lang w:val="fr-FR"/>
        </w:rPr>
        <w:t>Linhardt</w:t>
      </w:r>
      <w:proofErr w:type="spellEnd"/>
      <w:r w:rsidRPr="00ED74CE">
        <w:rPr>
          <w:sz w:val="22"/>
          <w:szCs w:val="22"/>
          <w:lang w:val="fr-FR"/>
        </w:rPr>
        <w:t xml:space="preserve"> et Moreau de Bellaing, 2005), à la différence de la violence des casseurs qui est promptement dénoncée même quand elle ne touche que des objets et pas des personnes. La question de la légitimité introduit ainsi une grande marge d’interprétation quant à ce qui peut être qualifié de violent ou non. Certaines violences exercées à l’encontre des personnes migrantes – comme leur enfermement dans des camps de rétention insalubres – peuvent, par exemple, </w:t>
      </w:r>
      <w:r w:rsidRPr="00ED74CE">
        <w:rPr>
          <w:sz w:val="22"/>
          <w:szCs w:val="22"/>
          <w:lang w:val="fr-FR"/>
        </w:rPr>
        <w:lastRenderedPageBreak/>
        <w:t>être présentées comme de simples stratégies de sécurisation des frontières. Le concept de « </w:t>
      </w:r>
      <w:proofErr w:type="spellStart"/>
      <w:r w:rsidRPr="00ED74CE">
        <w:rPr>
          <w:sz w:val="22"/>
          <w:szCs w:val="22"/>
          <w:lang w:val="fr-FR"/>
        </w:rPr>
        <w:t>nécropolitique</w:t>
      </w:r>
      <w:proofErr w:type="spellEnd"/>
      <w:r w:rsidRPr="00ED74CE">
        <w:rPr>
          <w:sz w:val="22"/>
          <w:szCs w:val="22"/>
          <w:lang w:val="fr-FR"/>
        </w:rPr>
        <w:t xml:space="preserve"> » théorisé par Achille </w:t>
      </w:r>
      <w:proofErr w:type="spellStart"/>
      <w:r w:rsidRPr="00ED74CE">
        <w:rPr>
          <w:sz w:val="22"/>
          <w:szCs w:val="22"/>
          <w:lang w:val="fr-FR"/>
        </w:rPr>
        <w:t>Mbembe</w:t>
      </w:r>
      <w:proofErr w:type="spellEnd"/>
      <w:r w:rsidRPr="00ED74CE">
        <w:rPr>
          <w:sz w:val="22"/>
          <w:szCs w:val="22"/>
          <w:lang w:val="fr-FR"/>
        </w:rPr>
        <w:t xml:space="preserve"> (2006) permet de comprendre ce renversement : la violence exercée sur les </w:t>
      </w:r>
      <w:proofErr w:type="spellStart"/>
      <w:r w:rsidRPr="00ED74CE">
        <w:rPr>
          <w:sz w:val="22"/>
          <w:szCs w:val="22"/>
          <w:lang w:val="fr-FR"/>
        </w:rPr>
        <w:t>dominé·es</w:t>
      </w:r>
      <w:proofErr w:type="spellEnd"/>
      <w:r w:rsidRPr="00ED74CE">
        <w:rPr>
          <w:sz w:val="22"/>
          <w:szCs w:val="22"/>
          <w:lang w:val="fr-FR"/>
        </w:rPr>
        <w:t xml:space="preserve"> se trouve justifiée par la menace supposée qu’ils ou elles feraient peser sur les </w:t>
      </w:r>
      <w:proofErr w:type="spellStart"/>
      <w:r w:rsidRPr="00ED74CE">
        <w:rPr>
          <w:sz w:val="22"/>
          <w:szCs w:val="22"/>
          <w:lang w:val="fr-FR"/>
        </w:rPr>
        <w:t>dominant·es</w:t>
      </w:r>
      <w:proofErr w:type="spellEnd"/>
      <w:r w:rsidRPr="00ED74CE">
        <w:rPr>
          <w:sz w:val="22"/>
          <w:szCs w:val="22"/>
          <w:lang w:val="fr-FR"/>
        </w:rPr>
        <w:t>. La construction fictionnelle d’un ennemi, ou d’une menace migratoire, permet ainsi de légitimer le recours à des pratiques violentes – parfois mortelles – au nom de la protection des frontières (</w:t>
      </w:r>
      <w:proofErr w:type="spellStart"/>
      <w:r w:rsidRPr="00ED74CE">
        <w:rPr>
          <w:sz w:val="22"/>
          <w:szCs w:val="22"/>
          <w:lang w:val="fr-FR"/>
        </w:rPr>
        <w:t>Tyszler</w:t>
      </w:r>
      <w:proofErr w:type="spellEnd"/>
      <w:r w:rsidRPr="00ED74CE">
        <w:rPr>
          <w:sz w:val="22"/>
          <w:szCs w:val="22"/>
          <w:lang w:val="fr-FR"/>
        </w:rPr>
        <w:t>, 2024 ; Latouche, 2024). Qualifier ces pratiques de violences permet ainsi de contester les hiérarchies implicites entre les vies qui comptent - considérées comme dignes d’être protégées - et celles qui ne comptent pas, qui peuvent être tuées (Butler, 2010).</w:t>
      </w:r>
    </w:p>
    <w:p w14:paraId="36370676" w14:textId="1FAB5EF6" w:rsidR="00ED74CE" w:rsidRPr="00ED74CE" w:rsidRDefault="00ED74CE" w:rsidP="00ED74CE">
      <w:pPr>
        <w:spacing w:after="160" w:line="278" w:lineRule="auto"/>
        <w:rPr>
          <w:sz w:val="22"/>
          <w:szCs w:val="22"/>
          <w:lang w:val="fr-FR"/>
        </w:rPr>
      </w:pPr>
      <w:r w:rsidRPr="00ED74CE">
        <w:rPr>
          <w:sz w:val="22"/>
          <w:szCs w:val="22"/>
          <w:lang w:val="fr-FR"/>
        </w:rPr>
        <w:t xml:space="preserve">Les tensions propres à l’usage de la notion de « violence » font ainsi apparaître des rapports de force invisibilisés, dans le cas par exemple de la controverse récente entourant les « violences motorisées », qui nous semble un bel exemple d’articulation entre violence et mobilité. Ce terme fut introduit récemment par la FUB (Fédération des </w:t>
      </w:r>
      <w:proofErr w:type="spellStart"/>
      <w:r w:rsidRPr="00ED74CE">
        <w:rPr>
          <w:sz w:val="22"/>
          <w:szCs w:val="22"/>
          <w:lang w:val="fr-FR"/>
        </w:rPr>
        <w:t>Usagèr·es</w:t>
      </w:r>
      <w:proofErr w:type="spellEnd"/>
      <w:r w:rsidRPr="00ED74CE">
        <w:rPr>
          <w:sz w:val="22"/>
          <w:szCs w:val="22"/>
          <w:lang w:val="fr-FR"/>
        </w:rPr>
        <w:t xml:space="preserve"> de la Bicyclette), </w:t>
      </w:r>
      <w:proofErr w:type="gramStart"/>
      <w:r w:rsidRPr="00ED74CE">
        <w:rPr>
          <w:sz w:val="22"/>
          <w:szCs w:val="22"/>
          <w:lang w:val="fr-FR"/>
        </w:rPr>
        <w:t>suite à</w:t>
      </w:r>
      <w:proofErr w:type="gramEnd"/>
      <w:r w:rsidRPr="00ED74CE">
        <w:rPr>
          <w:sz w:val="22"/>
          <w:szCs w:val="22"/>
          <w:lang w:val="fr-FR"/>
        </w:rPr>
        <w:t xml:space="preserve"> la mort de Paul </w:t>
      </w:r>
      <w:proofErr w:type="spellStart"/>
      <w:r w:rsidRPr="00ED74CE">
        <w:rPr>
          <w:sz w:val="22"/>
          <w:szCs w:val="22"/>
          <w:lang w:val="fr-FR"/>
        </w:rPr>
        <w:t>Varry</w:t>
      </w:r>
      <w:proofErr w:type="spellEnd"/>
      <w:r w:rsidRPr="00ED74CE">
        <w:rPr>
          <w:sz w:val="22"/>
          <w:szCs w:val="22"/>
          <w:lang w:val="fr-FR"/>
        </w:rPr>
        <w:t xml:space="preserve"> en octobre 2024, écrasé par un conducteur de SUV, dans une pétition dans laquelle elle dénonce les « dépassements dangereux, insultes, queues de poisson, intimidations, violences physiques » </w:t>
      </w:r>
      <w:proofErr w:type="spellStart"/>
      <w:r w:rsidRPr="00ED74CE">
        <w:rPr>
          <w:sz w:val="22"/>
          <w:szCs w:val="22"/>
          <w:lang w:val="fr-FR"/>
        </w:rPr>
        <w:t>subi·es</w:t>
      </w:r>
      <w:proofErr w:type="spellEnd"/>
      <w:r w:rsidRPr="00ED74CE">
        <w:rPr>
          <w:sz w:val="22"/>
          <w:szCs w:val="22"/>
          <w:lang w:val="fr-FR"/>
        </w:rPr>
        <w:t xml:space="preserve"> au quotidien par les cyclistes. Mais au-delà de ces comportements volontaires, parler de « violence » à propos de l’automobile invite à se poser la question des atteintes portées aux corps des non-automobilistes par des comportements « involontaires » (comme on parle d</w:t>
      </w:r>
      <w:proofErr w:type="gramStart"/>
      <w:r w:rsidRPr="00ED74CE">
        <w:rPr>
          <w:sz w:val="22"/>
          <w:szCs w:val="22"/>
          <w:lang w:val="fr-FR"/>
        </w:rPr>
        <w:t>’«</w:t>
      </w:r>
      <w:proofErr w:type="gramEnd"/>
      <w:r w:rsidRPr="00ED74CE">
        <w:rPr>
          <w:sz w:val="22"/>
          <w:szCs w:val="22"/>
          <w:lang w:val="fr-FR"/>
        </w:rPr>
        <w:t xml:space="preserve"> homicide involontaire »). Peut-on continuer à parler d’accident, comme cela est d’usage dans la recherche en sécurité routière, pour des actes dont on peut pourtant évaluer la fréquence et la spatialité, et qui ont une ampleur considérable</w:t>
      </w:r>
      <w:r w:rsidRPr="00ED74CE">
        <w:rPr>
          <w:sz w:val="22"/>
          <w:szCs w:val="22"/>
          <w:lang w:val="fr-FR"/>
        </w:rPr>
        <w:footnoteReference w:id="2"/>
      </w:r>
      <w:r w:rsidRPr="00ED74CE">
        <w:rPr>
          <w:sz w:val="22"/>
          <w:szCs w:val="22"/>
          <w:lang w:val="fr-FR"/>
        </w:rPr>
        <w:t xml:space="preserve"> ? Un événement prévisible peut-il être accidentel ? Ou est-ce une manière d’invisibiliser un nombre de morts que l’on a choisi collectivement d’accepter au nom de la liberté automobile ? C’est la question que pose notamment Gregg </w:t>
      </w:r>
      <w:proofErr w:type="spellStart"/>
      <w:r w:rsidRPr="00ED74CE">
        <w:rPr>
          <w:sz w:val="22"/>
          <w:szCs w:val="22"/>
          <w:lang w:val="fr-FR"/>
        </w:rPr>
        <w:t>Culver</w:t>
      </w:r>
      <w:proofErr w:type="spellEnd"/>
      <w:r w:rsidRPr="00ED74CE">
        <w:rPr>
          <w:sz w:val="22"/>
          <w:szCs w:val="22"/>
          <w:lang w:val="fr-FR"/>
        </w:rPr>
        <w:t xml:space="preserve"> dans son article </w:t>
      </w:r>
      <w:proofErr w:type="spellStart"/>
      <w:r w:rsidRPr="00ED74CE">
        <w:rPr>
          <w:sz w:val="22"/>
          <w:szCs w:val="22"/>
          <w:lang w:val="fr-FR"/>
        </w:rPr>
        <w:t>Death</w:t>
      </w:r>
      <w:proofErr w:type="spellEnd"/>
      <w:r w:rsidRPr="00ED74CE">
        <w:rPr>
          <w:sz w:val="22"/>
          <w:szCs w:val="22"/>
          <w:lang w:val="fr-FR"/>
        </w:rPr>
        <w:t xml:space="preserve"> and the </w:t>
      </w:r>
      <w:proofErr w:type="gramStart"/>
      <w:r w:rsidRPr="00ED74CE">
        <w:rPr>
          <w:sz w:val="22"/>
          <w:szCs w:val="22"/>
          <w:lang w:val="fr-FR"/>
        </w:rPr>
        <w:t>Car:</w:t>
      </w:r>
      <w:proofErr w:type="gramEnd"/>
      <w:r w:rsidRPr="00ED74CE">
        <w:rPr>
          <w:sz w:val="22"/>
          <w:szCs w:val="22"/>
          <w:lang w:val="fr-FR"/>
        </w:rPr>
        <w:t xml:space="preserve"> On (Auto)</w:t>
      </w:r>
      <w:proofErr w:type="spellStart"/>
      <w:r w:rsidRPr="00ED74CE">
        <w:rPr>
          <w:sz w:val="22"/>
          <w:szCs w:val="22"/>
          <w:lang w:val="fr-FR"/>
        </w:rPr>
        <w:t>Mobility</w:t>
      </w:r>
      <w:proofErr w:type="spellEnd"/>
      <w:r w:rsidRPr="00ED74CE">
        <w:rPr>
          <w:sz w:val="22"/>
          <w:szCs w:val="22"/>
          <w:lang w:val="fr-FR"/>
        </w:rPr>
        <w:t>, Violence, and Injustice (2018), plaçant le débat dans le champ de la justice.</w:t>
      </w:r>
    </w:p>
    <w:p w14:paraId="4F7F3055" w14:textId="0C66D57E" w:rsidR="00ED74CE" w:rsidRPr="00ED74CE" w:rsidRDefault="00ED74CE" w:rsidP="00ED74CE">
      <w:pPr>
        <w:spacing w:after="160" w:line="278" w:lineRule="auto"/>
        <w:rPr>
          <w:sz w:val="22"/>
          <w:szCs w:val="22"/>
          <w:lang w:val="fr-FR"/>
        </w:rPr>
      </w:pPr>
      <w:r w:rsidRPr="00ED74CE">
        <w:rPr>
          <w:sz w:val="22"/>
          <w:szCs w:val="22"/>
          <w:lang w:val="fr-FR"/>
        </w:rPr>
        <w:t xml:space="preserve">En définitive, interroger la notion de « violence » et la mettre en regard avec les enjeux liés à la mobilité permet de mettre au jour les logiques de légitimation qui traversent des contextes sociaux et politiques variés. Qu’il s’agisse des violences exercées aux frontières ou de celles liées à l’automobile, leur analyse révèle des processus d’invisibilisation qui participent au maintien d’un ordre social fondé sur des hiérarchies implicites entre les vies. Si les violences frontalières s’inscrivent dans des dispositifs sécuritaires visant à contrôler les mobilités, les violences automobiles </w:t>
      </w:r>
      <w:proofErr w:type="gramStart"/>
      <w:r w:rsidRPr="00ED74CE">
        <w:rPr>
          <w:sz w:val="22"/>
          <w:szCs w:val="22"/>
          <w:lang w:val="fr-FR"/>
        </w:rPr>
        <w:t>relèvent</w:t>
      </w:r>
      <w:proofErr w:type="gramEnd"/>
      <w:r w:rsidRPr="00ED74CE">
        <w:rPr>
          <w:sz w:val="22"/>
          <w:szCs w:val="22"/>
          <w:lang w:val="fr-FR"/>
        </w:rPr>
        <w:t xml:space="preserve"> davantage de rapports de domination ordinaires, produits par des normes sociales et matérielles qui privilégient certains usages de l’espace public. Dans les deux cas, qualifier ces pratiques de « violences » constitue un geste critique : il </w:t>
      </w:r>
      <w:r w:rsidRPr="00ED74CE">
        <w:rPr>
          <w:sz w:val="22"/>
          <w:szCs w:val="22"/>
          <w:lang w:val="fr-FR"/>
        </w:rPr>
        <w:lastRenderedPageBreak/>
        <w:t>permet de rendre visibles les rapports de force qu’elles recouvrent et d’interroger les critères à partir desquels nos sociétés définissent ce qui est perçu – ou non – comme légitime.</w:t>
      </w:r>
    </w:p>
    <w:p w14:paraId="1E55FBDC" w14:textId="77777777" w:rsidR="00777945" w:rsidRPr="00777945" w:rsidRDefault="00777945" w:rsidP="00777945">
      <w:pPr>
        <w:pStyle w:val="Titre2"/>
      </w:pPr>
      <w:r w:rsidRPr="00777945">
        <w:t>Bibliographie</w:t>
      </w:r>
    </w:p>
    <w:p w14:paraId="67FAD9AA" w14:textId="77777777" w:rsidR="00ED74CE" w:rsidRPr="00181F61" w:rsidRDefault="00ED74CE" w:rsidP="00ED74CE">
      <w:pPr>
        <w:pStyle w:val="Biblio"/>
        <w:rPr>
          <w:spacing w:val="-2"/>
        </w:rPr>
      </w:pPr>
      <w:r w:rsidRPr="00E724D2">
        <w:t>Bank,</w:t>
      </w:r>
      <w:r w:rsidRPr="00E724D2">
        <w:rPr>
          <w:spacing w:val="33"/>
        </w:rPr>
        <w:t xml:space="preserve"> </w:t>
      </w:r>
      <w:r w:rsidRPr="00E724D2">
        <w:t>André,</w:t>
      </w:r>
      <w:r w:rsidRPr="00E724D2">
        <w:rPr>
          <w:spacing w:val="30"/>
        </w:rPr>
        <w:t xml:space="preserve"> </w:t>
      </w:r>
      <w:r w:rsidRPr="00E724D2">
        <w:t>Christiane</w:t>
      </w:r>
      <w:r w:rsidRPr="00E724D2">
        <w:rPr>
          <w:spacing w:val="25"/>
        </w:rPr>
        <w:t xml:space="preserve"> </w:t>
      </w:r>
      <w:proofErr w:type="spellStart"/>
      <w:r w:rsidRPr="00E724D2">
        <w:t>Fröhlich</w:t>
      </w:r>
      <w:proofErr w:type="spellEnd"/>
      <w:r w:rsidRPr="00E724D2">
        <w:t>,</w:t>
      </w:r>
      <w:r w:rsidRPr="00E724D2">
        <w:rPr>
          <w:spacing w:val="33"/>
        </w:rPr>
        <w:t xml:space="preserve"> </w:t>
      </w:r>
      <w:r w:rsidRPr="00E724D2">
        <w:t>et</w:t>
      </w:r>
      <w:r w:rsidRPr="00E724D2">
        <w:rPr>
          <w:spacing w:val="30"/>
        </w:rPr>
        <w:t xml:space="preserve"> </w:t>
      </w:r>
      <w:r w:rsidRPr="00E724D2">
        <w:t>Andrea</w:t>
      </w:r>
      <w:r w:rsidRPr="00E724D2">
        <w:rPr>
          <w:spacing w:val="30"/>
        </w:rPr>
        <w:t xml:space="preserve"> </w:t>
      </w:r>
      <w:proofErr w:type="spellStart"/>
      <w:r w:rsidRPr="00E724D2">
        <w:t>Schneiker</w:t>
      </w:r>
      <w:proofErr w:type="spellEnd"/>
      <w:r w:rsidRPr="00E724D2">
        <w:rPr>
          <w:spacing w:val="27"/>
        </w:rPr>
        <w:t xml:space="preserve"> </w:t>
      </w:r>
      <w:r w:rsidRPr="00E724D2">
        <w:t>(2017).</w:t>
      </w:r>
      <w:r w:rsidRPr="00E724D2">
        <w:rPr>
          <w:spacing w:val="33"/>
        </w:rPr>
        <w:t xml:space="preserve"> </w:t>
      </w:r>
      <w:r w:rsidRPr="00E724D2">
        <w:t>« The</w:t>
      </w:r>
      <w:r w:rsidRPr="00E724D2">
        <w:rPr>
          <w:spacing w:val="31"/>
        </w:rPr>
        <w:t xml:space="preserve"> </w:t>
      </w:r>
      <w:proofErr w:type="spellStart"/>
      <w:r w:rsidRPr="00E724D2">
        <w:t>Political</w:t>
      </w:r>
      <w:proofErr w:type="spellEnd"/>
      <w:r w:rsidRPr="00E724D2">
        <w:rPr>
          <w:spacing w:val="25"/>
        </w:rPr>
        <w:t xml:space="preserve"> </w:t>
      </w:r>
      <w:r w:rsidRPr="00E724D2">
        <w:t xml:space="preserve">Dynamics of Human </w:t>
      </w:r>
      <w:proofErr w:type="spellStart"/>
      <w:proofErr w:type="gramStart"/>
      <w:r w:rsidRPr="00E724D2">
        <w:t>Mobility</w:t>
      </w:r>
      <w:proofErr w:type="spellEnd"/>
      <w:r w:rsidRPr="00E724D2">
        <w:t>:</w:t>
      </w:r>
      <w:proofErr w:type="gramEnd"/>
      <w:r w:rsidRPr="00E724D2">
        <w:t xml:space="preserve"> Migration out of, as and </w:t>
      </w:r>
      <w:proofErr w:type="spellStart"/>
      <w:r w:rsidRPr="00E724D2">
        <w:t>into</w:t>
      </w:r>
      <w:proofErr w:type="spellEnd"/>
      <w:r w:rsidRPr="00E724D2">
        <w:t xml:space="preserve"> Violence ». </w:t>
      </w:r>
      <w:r w:rsidRPr="00181F61">
        <w:rPr>
          <w:i/>
        </w:rPr>
        <w:t>Global Policy</w:t>
      </w:r>
      <w:r w:rsidRPr="00181F61">
        <w:t>, vol. 8, n° S1, pp. </w:t>
      </w:r>
      <w:r w:rsidRPr="00181F61">
        <w:rPr>
          <w:spacing w:val="-2"/>
        </w:rPr>
        <w:t>12‑18.</w:t>
      </w:r>
    </w:p>
    <w:p w14:paraId="1D7D4CCA" w14:textId="77777777" w:rsidR="00ED74CE" w:rsidRPr="00181F61" w:rsidRDefault="00ED74CE" w:rsidP="00ED74CE">
      <w:pPr>
        <w:pStyle w:val="Biblio"/>
      </w:pPr>
      <w:proofErr w:type="spellStart"/>
      <w:r w:rsidRPr="00B75704">
        <w:t>Blidon</w:t>
      </w:r>
      <w:proofErr w:type="spellEnd"/>
      <w:r w:rsidRPr="00B75704">
        <w:t>, M</w:t>
      </w:r>
      <w:r>
        <w:t>arianne</w:t>
      </w:r>
      <w:r w:rsidRPr="00181F61">
        <w:t xml:space="preserve"> (2021). </w:t>
      </w:r>
      <w:r>
        <w:t>« </w:t>
      </w:r>
      <w:r w:rsidRPr="00181F61">
        <w:t>Espace urbain</w:t>
      </w:r>
      <w:r>
        <w:t> »</w:t>
      </w:r>
      <w:r w:rsidRPr="00181F61">
        <w:t>. Dans</w:t>
      </w:r>
      <w:r>
        <w:t xml:space="preserve"> : </w:t>
      </w:r>
      <w:r w:rsidRPr="00181F61">
        <w:t>J. Rennes</w:t>
      </w:r>
      <w:r>
        <w:t xml:space="preserve"> (</w:t>
      </w:r>
      <w:proofErr w:type="spellStart"/>
      <w:r>
        <w:t>dir</w:t>
      </w:r>
      <w:proofErr w:type="spellEnd"/>
      <w:r>
        <w:t>.) :</w:t>
      </w:r>
      <w:r w:rsidRPr="00181F61">
        <w:t xml:space="preserve"> </w:t>
      </w:r>
      <w:r w:rsidRPr="00181F61">
        <w:rPr>
          <w:i/>
        </w:rPr>
        <w:t>Encyclopédie critique du genre</w:t>
      </w:r>
      <w:r>
        <w:rPr>
          <w:i/>
        </w:rPr>
        <w:t>,</w:t>
      </w:r>
      <w:r>
        <w:t xml:space="preserve"> Paris : </w:t>
      </w:r>
      <w:r w:rsidRPr="00181F61">
        <w:t>La Découverte</w:t>
      </w:r>
      <w:r>
        <w:t xml:space="preserve">, pp. </w:t>
      </w:r>
      <w:r w:rsidRPr="00F86FF1">
        <w:t>275-285</w:t>
      </w:r>
      <w:r w:rsidRPr="00181F61">
        <w:t>.</w:t>
      </w:r>
    </w:p>
    <w:p w14:paraId="6AF7A8CA" w14:textId="77777777" w:rsidR="00ED74CE" w:rsidRPr="006D7834" w:rsidRDefault="00ED74CE" w:rsidP="00ED74CE">
      <w:pPr>
        <w:pStyle w:val="Biblio"/>
      </w:pPr>
      <w:proofErr w:type="spellStart"/>
      <w:r w:rsidRPr="00181F61">
        <w:t>Bloxham</w:t>
      </w:r>
      <w:proofErr w:type="spellEnd"/>
      <w:r>
        <w:t>, Donald</w:t>
      </w:r>
      <w:r w:rsidRPr="00181F61">
        <w:t xml:space="preserve"> et</w:t>
      </w:r>
      <w:r>
        <w:t xml:space="preserve"> A. Dirk</w:t>
      </w:r>
      <w:r w:rsidRPr="00181F61">
        <w:t xml:space="preserve"> Moses (</w:t>
      </w:r>
      <w:proofErr w:type="spellStart"/>
      <w:r w:rsidRPr="00181F61">
        <w:t>dir</w:t>
      </w:r>
      <w:proofErr w:type="spellEnd"/>
      <w:r w:rsidRPr="00181F61">
        <w:t>.)</w:t>
      </w:r>
      <w:r>
        <w:t xml:space="preserve"> </w:t>
      </w:r>
      <w:r w:rsidRPr="00181F61">
        <w:t xml:space="preserve">(2010). </w:t>
      </w:r>
      <w:r w:rsidRPr="009A7EA1">
        <w:rPr>
          <w:i/>
          <w:lang w:val="en-US"/>
        </w:rPr>
        <w:t>The Oxford H</w:t>
      </w:r>
      <w:r>
        <w:rPr>
          <w:i/>
          <w:lang w:val="en-US"/>
        </w:rPr>
        <w:t>andbook of Genocide Studies.</w:t>
      </w:r>
      <w:r>
        <w:rPr>
          <w:lang w:val="en-US"/>
        </w:rPr>
        <w:t xml:space="preserve"> </w:t>
      </w:r>
      <w:r w:rsidRPr="006D7834">
        <w:t xml:space="preserve">New York : Oxford </w:t>
      </w:r>
      <w:proofErr w:type="spellStart"/>
      <w:r w:rsidRPr="006D7834">
        <w:t>University</w:t>
      </w:r>
      <w:proofErr w:type="spellEnd"/>
      <w:r w:rsidRPr="006D7834">
        <w:t xml:space="preserve"> </w:t>
      </w:r>
      <w:proofErr w:type="spellStart"/>
      <w:r w:rsidRPr="006D7834">
        <w:t>Press</w:t>
      </w:r>
      <w:proofErr w:type="spellEnd"/>
      <w:r w:rsidRPr="006D7834">
        <w:t>.</w:t>
      </w:r>
    </w:p>
    <w:p w14:paraId="3A132B32" w14:textId="77777777" w:rsidR="00ED74CE" w:rsidRDefault="00ED74CE" w:rsidP="00ED74CE">
      <w:pPr>
        <w:pStyle w:val="Biblio"/>
      </w:pPr>
      <w:r w:rsidRPr="006D7834">
        <w:t xml:space="preserve">Bonté, Milan (2022). </w:t>
      </w:r>
      <w:r>
        <w:t>« Négocier la ville en escales</w:t>
      </w:r>
      <w:r>
        <w:rPr>
          <w:spacing w:val="-6"/>
        </w:rPr>
        <w:t xml:space="preserve"> </w:t>
      </w:r>
      <w:r>
        <w:t>: les espaces publics au prisme des expériences trans à Paris, Rennes et Londres ». Thèse de doctorat, Université Paris 1 Panthéon-Sorbonne.</w:t>
      </w:r>
    </w:p>
    <w:p w14:paraId="0C6CE087" w14:textId="77777777" w:rsidR="00ED74CE" w:rsidRDefault="00ED74CE" w:rsidP="00ED74CE">
      <w:pPr>
        <w:pStyle w:val="Biblio"/>
      </w:pPr>
      <w:r w:rsidRPr="00B75704">
        <w:t>Bonté, M</w:t>
      </w:r>
      <w:r>
        <w:t>ilan</w:t>
      </w:r>
      <w:r w:rsidRPr="00B75704">
        <w:t xml:space="preserve"> (2025). </w:t>
      </w:r>
      <w:r>
        <w:t>« </w:t>
      </w:r>
      <w:r w:rsidRPr="00B75704">
        <w:t>La subordination par la violence. Penser la socialisation genrée aux espaces publics grâce aux vécus trans</w:t>
      </w:r>
      <w:r>
        <w:t> »</w:t>
      </w:r>
      <w:r w:rsidRPr="00B75704">
        <w:t xml:space="preserve">. </w:t>
      </w:r>
      <w:r w:rsidRPr="00181F61">
        <w:rPr>
          <w:i/>
        </w:rPr>
        <w:t>Espaces et sociétés</w:t>
      </w:r>
      <w:r w:rsidRPr="00B75704">
        <w:t xml:space="preserve">, </w:t>
      </w:r>
      <w:r>
        <w:t>vol. 195, n°2</w:t>
      </w:r>
      <w:r w:rsidRPr="00B75704">
        <w:t xml:space="preserve">, </w:t>
      </w:r>
      <w:r>
        <w:t>pp. </w:t>
      </w:r>
      <w:r w:rsidRPr="00B75704">
        <w:t>147-165.</w:t>
      </w:r>
    </w:p>
    <w:p w14:paraId="47EE59D5" w14:textId="77777777" w:rsidR="00ED74CE" w:rsidRDefault="00ED74CE" w:rsidP="00ED74CE">
      <w:pPr>
        <w:pStyle w:val="Biblio"/>
      </w:pPr>
      <w:r>
        <w:t>Butler,</w:t>
      </w:r>
      <w:r>
        <w:rPr>
          <w:spacing w:val="9"/>
        </w:rPr>
        <w:t xml:space="preserve"> </w:t>
      </w:r>
      <w:r>
        <w:t>Judith</w:t>
      </w:r>
      <w:r>
        <w:rPr>
          <w:spacing w:val="7"/>
        </w:rPr>
        <w:t xml:space="preserve"> </w:t>
      </w:r>
      <w:r>
        <w:t>(2010).</w:t>
      </w:r>
      <w:r>
        <w:rPr>
          <w:spacing w:val="11"/>
        </w:rPr>
        <w:t xml:space="preserve"> </w:t>
      </w:r>
      <w:r>
        <w:rPr>
          <w:i/>
        </w:rPr>
        <w:t>Ce</w:t>
      </w:r>
      <w:r>
        <w:rPr>
          <w:i/>
          <w:spacing w:val="6"/>
        </w:rPr>
        <w:t xml:space="preserve"> </w:t>
      </w:r>
      <w:r>
        <w:rPr>
          <w:i/>
        </w:rPr>
        <w:t>qui</w:t>
      </w:r>
      <w:r>
        <w:rPr>
          <w:i/>
          <w:spacing w:val="13"/>
        </w:rPr>
        <w:t xml:space="preserve"> </w:t>
      </w:r>
      <w:r>
        <w:rPr>
          <w:i/>
        </w:rPr>
        <w:t>fait</w:t>
      </w:r>
      <w:r>
        <w:rPr>
          <w:i/>
          <w:spacing w:val="10"/>
        </w:rPr>
        <w:t xml:space="preserve"> </w:t>
      </w:r>
      <w:r>
        <w:rPr>
          <w:i/>
        </w:rPr>
        <w:t>une</w:t>
      </w:r>
      <w:r>
        <w:rPr>
          <w:i/>
          <w:spacing w:val="4"/>
        </w:rPr>
        <w:t xml:space="preserve"> </w:t>
      </w:r>
      <w:r>
        <w:rPr>
          <w:i/>
        </w:rPr>
        <w:t>vie</w:t>
      </w:r>
      <w:r>
        <w:t>.</w:t>
      </w:r>
      <w:r>
        <w:rPr>
          <w:spacing w:val="10"/>
        </w:rPr>
        <w:t xml:space="preserve"> </w:t>
      </w:r>
      <w:r>
        <w:t>Paris</w:t>
      </w:r>
      <w:r>
        <w:rPr>
          <w:spacing w:val="7"/>
        </w:rPr>
        <w:t xml:space="preserve"> </w:t>
      </w:r>
      <w:r>
        <w:t>:</w:t>
      </w:r>
      <w:r>
        <w:rPr>
          <w:spacing w:val="7"/>
        </w:rPr>
        <w:t xml:space="preserve"> </w:t>
      </w:r>
      <w:r>
        <w:rPr>
          <w:spacing w:val="-2"/>
        </w:rPr>
        <w:t>Zones.</w:t>
      </w:r>
    </w:p>
    <w:p w14:paraId="1DF92276" w14:textId="77777777" w:rsidR="00ED74CE" w:rsidRDefault="00ED74CE" w:rsidP="00ED74CE">
      <w:pPr>
        <w:pStyle w:val="Biblio"/>
      </w:pPr>
      <w:r>
        <w:t>Cattan,</w:t>
      </w:r>
      <w:r>
        <w:rPr>
          <w:spacing w:val="24"/>
        </w:rPr>
        <w:t xml:space="preserve"> </w:t>
      </w:r>
      <w:r>
        <w:t>Nadine,</w:t>
      </w:r>
      <w:r>
        <w:rPr>
          <w:spacing w:val="22"/>
        </w:rPr>
        <w:t xml:space="preserve"> </w:t>
      </w:r>
      <w:r>
        <w:t>et</w:t>
      </w:r>
      <w:r>
        <w:rPr>
          <w:spacing w:val="22"/>
        </w:rPr>
        <w:t xml:space="preserve"> </w:t>
      </w:r>
      <w:r>
        <w:t>Stéphane</w:t>
      </w:r>
      <w:r>
        <w:rPr>
          <w:spacing w:val="22"/>
        </w:rPr>
        <w:t xml:space="preserve"> </w:t>
      </w:r>
      <w:r>
        <w:t>Leroy</w:t>
      </w:r>
      <w:r>
        <w:rPr>
          <w:spacing w:val="19"/>
        </w:rPr>
        <w:t xml:space="preserve"> </w:t>
      </w:r>
      <w:r>
        <w:t>(2013).</w:t>
      </w:r>
      <w:r>
        <w:rPr>
          <w:spacing w:val="28"/>
        </w:rPr>
        <w:t xml:space="preserve"> </w:t>
      </w:r>
      <w:r>
        <w:rPr>
          <w:i/>
        </w:rPr>
        <w:t>Atlas</w:t>
      </w:r>
      <w:r>
        <w:rPr>
          <w:i/>
          <w:spacing w:val="22"/>
        </w:rPr>
        <w:t xml:space="preserve"> </w:t>
      </w:r>
      <w:r>
        <w:rPr>
          <w:i/>
        </w:rPr>
        <w:t>mondial</w:t>
      </w:r>
      <w:r>
        <w:rPr>
          <w:i/>
          <w:spacing w:val="24"/>
        </w:rPr>
        <w:t xml:space="preserve"> </w:t>
      </w:r>
      <w:r>
        <w:rPr>
          <w:i/>
        </w:rPr>
        <w:t>des</w:t>
      </w:r>
      <w:r>
        <w:rPr>
          <w:i/>
          <w:spacing w:val="22"/>
        </w:rPr>
        <w:t xml:space="preserve"> </w:t>
      </w:r>
      <w:r>
        <w:rPr>
          <w:i/>
        </w:rPr>
        <w:t>sexualités.</w:t>
      </w:r>
      <w:r>
        <w:rPr>
          <w:i/>
          <w:spacing w:val="24"/>
        </w:rPr>
        <w:t xml:space="preserve"> </w:t>
      </w:r>
      <w:r>
        <w:rPr>
          <w:i/>
        </w:rPr>
        <w:t>Libertés,</w:t>
      </w:r>
      <w:r>
        <w:rPr>
          <w:i/>
          <w:spacing w:val="26"/>
        </w:rPr>
        <w:t xml:space="preserve"> </w:t>
      </w:r>
      <w:r>
        <w:rPr>
          <w:i/>
        </w:rPr>
        <w:t>plaisirs et interdits</w:t>
      </w:r>
      <w:r>
        <w:t>. Paris : Autrement.</w:t>
      </w:r>
    </w:p>
    <w:p w14:paraId="79ABD9C9" w14:textId="77777777" w:rsidR="00ED74CE" w:rsidRPr="009A7EA1" w:rsidRDefault="00ED74CE" w:rsidP="00ED74CE">
      <w:pPr>
        <w:pStyle w:val="Biblio"/>
        <w:rPr>
          <w:lang w:val="en-US"/>
        </w:rPr>
      </w:pPr>
      <w:proofErr w:type="spellStart"/>
      <w:r>
        <w:t>Chossière</w:t>
      </w:r>
      <w:proofErr w:type="spellEnd"/>
      <w:r>
        <w:t>,</w:t>
      </w:r>
      <w:r>
        <w:rPr>
          <w:spacing w:val="40"/>
        </w:rPr>
        <w:t xml:space="preserve"> </w:t>
      </w:r>
      <w:r>
        <w:t>Florent (2022).</w:t>
      </w:r>
      <w:r>
        <w:rPr>
          <w:spacing w:val="40"/>
        </w:rPr>
        <w:t xml:space="preserve"> </w:t>
      </w:r>
      <w:r>
        <w:t>« Minorités sexuelles et de</w:t>
      </w:r>
      <w:r>
        <w:rPr>
          <w:spacing w:val="40"/>
        </w:rPr>
        <w:t xml:space="preserve"> </w:t>
      </w:r>
      <w:r>
        <w:t>genre en exil</w:t>
      </w:r>
      <w:r>
        <w:rPr>
          <w:spacing w:val="-7"/>
        </w:rPr>
        <w:t xml:space="preserve"> </w:t>
      </w:r>
      <w:r>
        <w:t>:</w:t>
      </w:r>
      <w:r>
        <w:rPr>
          <w:spacing w:val="40"/>
        </w:rPr>
        <w:t xml:space="preserve"> </w:t>
      </w:r>
      <w:r>
        <w:t xml:space="preserve">l’expérience minoritaire à l’épreuve de la migration et de la demande d’asile en France ». </w:t>
      </w:r>
      <w:proofErr w:type="spellStart"/>
      <w:r w:rsidRPr="009A7EA1">
        <w:rPr>
          <w:lang w:val="en-US"/>
        </w:rPr>
        <w:t>Th</w:t>
      </w:r>
      <w:r>
        <w:rPr>
          <w:lang w:val="en-US"/>
        </w:rPr>
        <w:t>è</w:t>
      </w:r>
      <w:r w:rsidRPr="009A7EA1">
        <w:rPr>
          <w:lang w:val="en-US"/>
        </w:rPr>
        <w:t>se</w:t>
      </w:r>
      <w:proofErr w:type="spellEnd"/>
      <w:r w:rsidRPr="009A7EA1">
        <w:rPr>
          <w:lang w:val="en-US"/>
        </w:rPr>
        <w:t xml:space="preserve"> de </w:t>
      </w:r>
      <w:proofErr w:type="spellStart"/>
      <w:r w:rsidRPr="009A7EA1">
        <w:rPr>
          <w:lang w:val="en-US"/>
        </w:rPr>
        <w:t>doctorat</w:t>
      </w:r>
      <w:proofErr w:type="spellEnd"/>
      <w:r w:rsidRPr="009A7EA1">
        <w:rPr>
          <w:lang w:val="en-US"/>
        </w:rPr>
        <w:t>, Université Gustave Eiffel.</w:t>
      </w:r>
    </w:p>
    <w:p w14:paraId="50CEFAD1" w14:textId="77777777" w:rsidR="00ED74CE" w:rsidRPr="00E724D2" w:rsidRDefault="00ED74CE" w:rsidP="00ED74CE">
      <w:pPr>
        <w:pStyle w:val="Biblio"/>
      </w:pPr>
      <w:proofErr w:type="spellStart"/>
      <w:r w:rsidRPr="00E724D2">
        <w:t>Culver</w:t>
      </w:r>
      <w:proofErr w:type="spellEnd"/>
      <w:r w:rsidRPr="00E724D2">
        <w:t>,</w:t>
      </w:r>
      <w:r w:rsidRPr="00E724D2">
        <w:rPr>
          <w:spacing w:val="28"/>
        </w:rPr>
        <w:t xml:space="preserve"> </w:t>
      </w:r>
      <w:r w:rsidRPr="00E724D2">
        <w:t>Gregg</w:t>
      </w:r>
      <w:r w:rsidRPr="00E724D2">
        <w:rPr>
          <w:spacing w:val="27"/>
        </w:rPr>
        <w:t xml:space="preserve"> </w:t>
      </w:r>
      <w:r w:rsidRPr="00E724D2">
        <w:t>(2018).</w:t>
      </w:r>
      <w:r w:rsidRPr="00E724D2">
        <w:rPr>
          <w:spacing w:val="30"/>
        </w:rPr>
        <w:t xml:space="preserve"> </w:t>
      </w:r>
      <w:r w:rsidRPr="00E724D2">
        <w:t>«</w:t>
      </w:r>
      <w:r w:rsidRPr="00E724D2">
        <w:rPr>
          <w:spacing w:val="3"/>
        </w:rPr>
        <w:t xml:space="preserve"> </w:t>
      </w:r>
      <w:proofErr w:type="spellStart"/>
      <w:r w:rsidRPr="00E724D2">
        <w:t>Death</w:t>
      </w:r>
      <w:proofErr w:type="spellEnd"/>
      <w:r w:rsidRPr="00E724D2">
        <w:rPr>
          <w:spacing w:val="23"/>
        </w:rPr>
        <w:t xml:space="preserve"> </w:t>
      </w:r>
      <w:r w:rsidRPr="00E724D2">
        <w:t>and</w:t>
      </w:r>
      <w:r w:rsidRPr="00E724D2">
        <w:rPr>
          <w:spacing w:val="26"/>
        </w:rPr>
        <w:t xml:space="preserve"> </w:t>
      </w:r>
      <w:r w:rsidRPr="00E724D2">
        <w:t>the</w:t>
      </w:r>
      <w:r w:rsidRPr="00E724D2">
        <w:rPr>
          <w:spacing w:val="26"/>
        </w:rPr>
        <w:t xml:space="preserve"> </w:t>
      </w:r>
      <w:proofErr w:type="gramStart"/>
      <w:r w:rsidRPr="00E724D2">
        <w:t>car:</w:t>
      </w:r>
      <w:proofErr w:type="gramEnd"/>
      <w:r w:rsidRPr="00E724D2">
        <w:rPr>
          <w:spacing w:val="24"/>
        </w:rPr>
        <w:t xml:space="preserve"> </w:t>
      </w:r>
      <w:r w:rsidRPr="00E724D2">
        <w:t>On</w:t>
      </w:r>
      <w:r w:rsidRPr="00E724D2">
        <w:rPr>
          <w:spacing w:val="28"/>
        </w:rPr>
        <w:t xml:space="preserve"> </w:t>
      </w:r>
      <w:r w:rsidRPr="00E724D2">
        <w:t>(auto)</w:t>
      </w:r>
      <w:r w:rsidRPr="00E724D2">
        <w:rPr>
          <w:spacing w:val="29"/>
        </w:rPr>
        <w:t xml:space="preserve"> </w:t>
      </w:r>
      <w:proofErr w:type="spellStart"/>
      <w:r w:rsidRPr="00E724D2">
        <w:t>mobility</w:t>
      </w:r>
      <w:proofErr w:type="spellEnd"/>
      <w:r w:rsidRPr="00E724D2">
        <w:t>,</w:t>
      </w:r>
      <w:r w:rsidRPr="00E724D2">
        <w:rPr>
          <w:spacing w:val="31"/>
        </w:rPr>
        <w:t xml:space="preserve"> </w:t>
      </w:r>
      <w:r w:rsidRPr="00E724D2">
        <w:t>violence,</w:t>
      </w:r>
      <w:r w:rsidRPr="00E724D2">
        <w:rPr>
          <w:spacing w:val="29"/>
        </w:rPr>
        <w:t xml:space="preserve"> </w:t>
      </w:r>
      <w:r w:rsidRPr="00E724D2">
        <w:t>and</w:t>
      </w:r>
      <w:r w:rsidRPr="00E724D2">
        <w:rPr>
          <w:spacing w:val="26"/>
        </w:rPr>
        <w:t xml:space="preserve"> </w:t>
      </w:r>
      <w:r w:rsidRPr="00E724D2">
        <w:t>injustice</w:t>
      </w:r>
      <w:r w:rsidRPr="00E724D2">
        <w:rPr>
          <w:spacing w:val="11"/>
        </w:rPr>
        <w:t xml:space="preserve"> </w:t>
      </w:r>
      <w:r w:rsidRPr="00E724D2">
        <w:rPr>
          <w:spacing w:val="-5"/>
        </w:rPr>
        <w:t>».</w:t>
      </w:r>
    </w:p>
    <w:p w14:paraId="2F78F513" w14:textId="77777777" w:rsidR="00ED74CE" w:rsidRPr="00E724D2" w:rsidRDefault="00ED74CE" w:rsidP="00ED74CE">
      <w:pPr>
        <w:pStyle w:val="Biblio"/>
      </w:pPr>
      <w:proofErr w:type="gramStart"/>
      <w:r w:rsidRPr="00E724D2">
        <w:t>ACME:</w:t>
      </w:r>
      <w:proofErr w:type="gramEnd"/>
      <w:r w:rsidRPr="00E724D2">
        <w:rPr>
          <w:spacing w:val="14"/>
        </w:rPr>
        <w:t xml:space="preserve"> </w:t>
      </w:r>
      <w:r w:rsidRPr="00E724D2">
        <w:t>An</w:t>
      </w:r>
      <w:r w:rsidRPr="00E724D2">
        <w:rPr>
          <w:spacing w:val="14"/>
        </w:rPr>
        <w:t xml:space="preserve"> </w:t>
      </w:r>
      <w:r w:rsidRPr="00E724D2">
        <w:t>International</w:t>
      </w:r>
      <w:r w:rsidRPr="00E724D2">
        <w:rPr>
          <w:spacing w:val="5"/>
        </w:rPr>
        <w:t xml:space="preserve"> </w:t>
      </w:r>
      <w:r w:rsidRPr="00E724D2">
        <w:t>Journal</w:t>
      </w:r>
      <w:r w:rsidRPr="00E724D2">
        <w:rPr>
          <w:spacing w:val="10"/>
        </w:rPr>
        <w:t xml:space="preserve"> </w:t>
      </w:r>
      <w:r w:rsidRPr="00E724D2">
        <w:t>for</w:t>
      </w:r>
      <w:r w:rsidRPr="00E724D2">
        <w:rPr>
          <w:spacing w:val="9"/>
        </w:rPr>
        <w:t xml:space="preserve"> </w:t>
      </w:r>
      <w:r w:rsidRPr="00E724D2">
        <w:t>Critical</w:t>
      </w:r>
      <w:r w:rsidRPr="00E724D2">
        <w:rPr>
          <w:spacing w:val="10"/>
        </w:rPr>
        <w:t xml:space="preserve"> </w:t>
      </w:r>
      <w:proofErr w:type="spellStart"/>
      <w:r w:rsidRPr="00E724D2">
        <w:t>Geographies</w:t>
      </w:r>
      <w:proofErr w:type="spellEnd"/>
      <w:r w:rsidRPr="00E724D2">
        <w:t>,</w:t>
      </w:r>
      <w:r w:rsidRPr="00E724D2">
        <w:rPr>
          <w:spacing w:val="12"/>
        </w:rPr>
        <w:t xml:space="preserve"> </w:t>
      </w:r>
      <w:r w:rsidRPr="00E724D2">
        <w:t>vol.</w:t>
      </w:r>
      <w:r w:rsidRPr="00E724D2">
        <w:rPr>
          <w:spacing w:val="12"/>
        </w:rPr>
        <w:t xml:space="preserve"> </w:t>
      </w:r>
      <w:r w:rsidRPr="00E724D2">
        <w:t>17,</w:t>
      </w:r>
      <w:r w:rsidRPr="00E724D2">
        <w:rPr>
          <w:spacing w:val="12"/>
        </w:rPr>
        <w:t xml:space="preserve"> </w:t>
      </w:r>
      <w:r w:rsidRPr="00E724D2">
        <w:t>n°1,</w:t>
      </w:r>
      <w:r w:rsidRPr="00E724D2">
        <w:rPr>
          <w:spacing w:val="12"/>
        </w:rPr>
        <w:t xml:space="preserve"> </w:t>
      </w:r>
      <w:r w:rsidRPr="00E724D2">
        <w:t>pp.</w:t>
      </w:r>
      <w:r w:rsidRPr="00E724D2">
        <w:rPr>
          <w:spacing w:val="12"/>
        </w:rPr>
        <w:t xml:space="preserve"> </w:t>
      </w:r>
      <w:r w:rsidRPr="00E724D2">
        <w:rPr>
          <w:spacing w:val="-2"/>
        </w:rPr>
        <w:t>144‑70.</w:t>
      </w:r>
    </w:p>
    <w:p w14:paraId="4E5EA8E0" w14:textId="77777777" w:rsidR="00ED74CE" w:rsidRDefault="00ED74CE" w:rsidP="00ED74CE">
      <w:pPr>
        <w:pStyle w:val="Biblio"/>
      </w:pPr>
      <w:r w:rsidRPr="00E724D2">
        <w:t xml:space="preserve">Crawford, C., &amp; Burns, R. (1998). « </w:t>
      </w:r>
      <w:proofErr w:type="spellStart"/>
      <w:r w:rsidRPr="00E724D2">
        <w:t>Predictors</w:t>
      </w:r>
      <w:proofErr w:type="spellEnd"/>
      <w:r w:rsidRPr="00E724D2">
        <w:t xml:space="preserve"> of the Police Use of </w:t>
      </w:r>
      <w:proofErr w:type="gramStart"/>
      <w:r w:rsidRPr="00E724D2">
        <w:t>Force:</w:t>
      </w:r>
      <w:proofErr w:type="gramEnd"/>
      <w:r w:rsidRPr="00E724D2">
        <w:t xml:space="preserve"> The Application of a Continuum Perspective in Phoenix ».</w:t>
      </w:r>
      <w:r w:rsidRPr="00E724D2">
        <w:rPr>
          <w:spacing w:val="36"/>
        </w:rPr>
        <w:t xml:space="preserve"> </w:t>
      </w:r>
      <w:r>
        <w:rPr>
          <w:i/>
        </w:rPr>
        <w:t xml:space="preserve">Police </w:t>
      </w:r>
      <w:proofErr w:type="spellStart"/>
      <w:r>
        <w:rPr>
          <w:i/>
        </w:rPr>
        <w:t>Quarterly</w:t>
      </w:r>
      <w:proofErr w:type="spellEnd"/>
      <w:r>
        <w:t>, vol. 1, n°4, pp. 41-63.</w:t>
      </w:r>
    </w:p>
    <w:p w14:paraId="20818473" w14:textId="77777777" w:rsidR="00ED74CE" w:rsidRPr="009A7EA1" w:rsidRDefault="00ED74CE" w:rsidP="00ED74CE">
      <w:pPr>
        <w:pStyle w:val="Biblio"/>
        <w:rPr>
          <w:lang w:val="en-US"/>
        </w:rPr>
      </w:pPr>
      <w:r>
        <w:t>Filhol,</w:t>
      </w:r>
      <w:r>
        <w:rPr>
          <w:spacing w:val="39"/>
        </w:rPr>
        <w:t xml:space="preserve"> </w:t>
      </w:r>
      <w:r>
        <w:t>Emmanuel, et</w:t>
      </w:r>
      <w:r>
        <w:rPr>
          <w:spacing w:val="37"/>
        </w:rPr>
        <w:t xml:space="preserve"> </w:t>
      </w:r>
      <w:r>
        <w:t>Marie-Christine Hubert (2009).</w:t>
      </w:r>
      <w:r>
        <w:rPr>
          <w:spacing w:val="40"/>
        </w:rPr>
        <w:t xml:space="preserve"> </w:t>
      </w:r>
      <w:r>
        <w:rPr>
          <w:i/>
        </w:rPr>
        <w:t>Les Tsiganes en France, un sort à part (1939-1946)</w:t>
      </w:r>
      <w:r>
        <w:t xml:space="preserve">. </w:t>
      </w:r>
      <w:proofErr w:type="gramStart"/>
      <w:r w:rsidRPr="009A7EA1">
        <w:rPr>
          <w:lang w:val="en-US"/>
        </w:rPr>
        <w:t>Paris :</w:t>
      </w:r>
      <w:proofErr w:type="gramEnd"/>
      <w:r w:rsidRPr="009A7EA1">
        <w:rPr>
          <w:lang w:val="en-US"/>
        </w:rPr>
        <w:t xml:space="preserve"> Perrin.</w:t>
      </w:r>
    </w:p>
    <w:p w14:paraId="23C2F8E9" w14:textId="77777777" w:rsidR="00ED74CE" w:rsidRDefault="00ED74CE" w:rsidP="00ED74CE">
      <w:pPr>
        <w:pStyle w:val="Biblio"/>
      </w:pPr>
      <w:proofErr w:type="spellStart"/>
      <w:r w:rsidRPr="00E724D2">
        <w:t>Gilodi</w:t>
      </w:r>
      <w:proofErr w:type="spellEnd"/>
      <w:r w:rsidRPr="00E724D2">
        <w:t xml:space="preserve">, Amalia, Isabelle Albert, et </w:t>
      </w:r>
      <w:proofErr w:type="spellStart"/>
      <w:r w:rsidRPr="00E724D2">
        <w:t>Birte</w:t>
      </w:r>
      <w:proofErr w:type="spellEnd"/>
      <w:r w:rsidRPr="00E724D2">
        <w:t xml:space="preserve"> </w:t>
      </w:r>
      <w:proofErr w:type="spellStart"/>
      <w:r w:rsidRPr="00E724D2">
        <w:t>Nienaber</w:t>
      </w:r>
      <w:proofErr w:type="spellEnd"/>
      <w:r w:rsidRPr="00E724D2">
        <w:t xml:space="preserve"> (2022). « </w:t>
      </w:r>
      <w:proofErr w:type="spellStart"/>
      <w:r w:rsidRPr="00E724D2">
        <w:t>Vulnerability</w:t>
      </w:r>
      <w:proofErr w:type="spellEnd"/>
      <w:r w:rsidRPr="00E724D2">
        <w:t xml:space="preserve"> in the </w:t>
      </w:r>
      <w:proofErr w:type="spellStart"/>
      <w:r w:rsidRPr="00E724D2">
        <w:t>Context</w:t>
      </w:r>
      <w:proofErr w:type="spellEnd"/>
      <w:r w:rsidRPr="00E724D2">
        <w:t xml:space="preserve"> of </w:t>
      </w:r>
      <w:proofErr w:type="gramStart"/>
      <w:r w:rsidRPr="00E724D2">
        <w:t>Migration:</w:t>
      </w:r>
      <w:proofErr w:type="gramEnd"/>
      <w:r w:rsidRPr="00E724D2">
        <w:t xml:space="preserve"> A Critical </w:t>
      </w:r>
      <w:proofErr w:type="spellStart"/>
      <w:r w:rsidRPr="00E724D2">
        <w:t>Overview</w:t>
      </w:r>
      <w:proofErr w:type="spellEnd"/>
      <w:r w:rsidRPr="00E724D2">
        <w:t xml:space="preserve"> and a New </w:t>
      </w:r>
      <w:proofErr w:type="spellStart"/>
      <w:r w:rsidRPr="00E724D2">
        <w:t>Conceptual</w:t>
      </w:r>
      <w:proofErr w:type="spellEnd"/>
      <w:r w:rsidRPr="00E724D2">
        <w:t xml:space="preserve"> Model ». </w:t>
      </w:r>
      <w:r>
        <w:rPr>
          <w:i/>
        </w:rPr>
        <w:t xml:space="preserve">Human </w:t>
      </w:r>
      <w:proofErr w:type="spellStart"/>
      <w:r>
        <w:rPr>
          <w:i/>
        </w:rPr>
        <w:t>Arenas</w:t>
      </w:r>
      <w:proofErr w:type="spellEnd"/>
      <w:r>
        <w:t>, vol. 7, pp. </w:t>
      </w:r>
      <w:r>
        <w:rPr>
          <w:spacing w:val="-2"/>
        </w:rPr>
        <w:t>620–640.</w:t>
      </w:r>
    </w:p>
    <w:p w14:paraId="09D3C0EA" w14:textId="77777777" w:rsidR="00ED74CE" w:rsidRPr="00181F61" w:rsidRDefault="00ED74CE" w:rsidP="00ED74CE">
      <w:pPr>
        <w:pStyle w:val="Biblio"/>
        <w:rPr>
          <w:lang w:val="en-GB"/>
        </w:rPr>
      </w:pPr>
      <w:r>
        <w:t xml:space="preserve">Goffman, </w:t>
      </w:r>
      <w:proofErr w:type="spellStart"/>
      <w:r>
        <w:t>Erving</w:t>
      </w:r>
      <w:proofErr w:type="spellEnd"/>
      <w:r>
        <w:t xml:space="preserve"> (1963). Stigmate</w:t>
      </w:r>
      <w:r>
        <w:rPr>
          <w:spacing w:val="-2"/>
        </w:rPr>
        <w:t xml:space="preserve"> </w:t>
      </w:r>
      <w:r>
        <w:t xml:space="preserve">: les usages sociaux des handicaps. </w:t>
      </w:r>
      <w:proofErr w:type="gramStart"/>
      <w:r w:rsidRPr="00181F61">
        <w:rPr>
          <w:lang w:val="en-GB"/>
        </w:rPr>
        <w:t>Paris :</w:t>
      </w:r>
      <w:proofErr w:type="gramEnd"/>
      <w:r w:rsidRPr="00181F61">
        <w:rPr>
          <w:lang w:val="en-GB"/>
        </w:rPr>
        <w:t xml:space="preserve"> Minuit.</w:t>
      </w:r>
    </w:p>
    <w:p w14:paraId="1B9C8250" w14:textId="77777777" w:rsidR="00ED74CE" w:rsidRPr="00E724D2" w:rsidRDefault="00ED74CE" w:rsidP="00ED74CE">
      <w:pPr>
        <w:pStyle w:val="Biblio"/>
      </w:pPr>
      <w:proofErr w:type="spellStart"/>
      <w:r w:rsidRPr="00181F61">
        <w:rPr>
          <w:lang w:val="en-GB"/>
        </w:rPr>
        <w:t>Graglia</w:t>
      </w:r>
      <w:proofErr w:type="spellEnd"/>
      <w:r w:rsidRPr="00181F61">
        <w:rPr>
          <w:lang w:val="en-GB"/>
        </w:rPr>
        <w:t xml:space="preserve">, Amy Dunckel (2015). </w:t>
      </w:r>
      <w:r w:rsidRPr="00E724D2">
        <w:t>«</w:t>
      </w:r>
      <w:r>
        <w:t> </w:t>
      </w:r>
      <w:proofErr w:type="spellStart"/>
      <w:r w:rsidRPr="00E724D2">
        <w:t>Finding</w:t>
      </w:r>
      <w:proofErr w:type="spellEnd"/>
      <w:r w:rsidRPr="00E724D2">
        <w:t xml:space="preserve"> </w:t>
      </w:r>
      <w:proofErr w:type="spellStart"/>
      <w:proofErr w:type="gramStart"/>
      <w:r w:rsidRPr="00E724D2">
        <w:t>mobility</w:t>
      </w:r>
      <w:proofErr w:type="spellEnd"/>
      <w:r w:rsidRPr="00E724D2">
        <w:t>:</w:t>
      </w:r>
      <w:proofErr w:type="gramEnd"/>
      <w:r w:rsidRPr="00E724D2">
        <w:t xml:space="preserve"> </w:t>
      </w:r>
      <w:proofErr w:type="spellStart"/>
      <w:r w:rsidRPr="00E724D2">
        <w:t>women</w:t>
      </w:r>
      <w:proofErr w:type="spellEnd"/>
      <w:r w:rsidRPr="00E724D2">
        <w:t xml:space="preserve"> </w:t>
      </w:r>
      <w:proofErr w:type="spellStart"/>
      <w:r w:rsidRPr="00E724D2">
        <w:t>negotiating</w:t>
      </w:r>
      <w:proofErr w:type="spellEnd"/>
      <w:r w:rsidRPr="00E724D2">
        <w:t xml:space="preserve"> </w:t>
      </w:r>
      <w:proofErr w:type="spellStart"/>
      <w:r w:rsidRPr="00E724D2">
        <w:t>fear</w:t>
      </w:r>
      <w:proofErr w:type="spellEnd"/>
      <w:r w:rsidRPr="00E724D2">
        <w:t xml:space="preserve"> and violence in Mexico </w:t>
      </w:r>
      <w:proofErr w:type="spellStart"/>
      <w:r w:rsidRPr="00E724D2">
        <w:t>City’s</w:t>
      </w:r>
      <w:proofErr w:type="spellEnd"/>
      <w:r w:rsidRPr="00E724D2">
        <w:t xml:space="preserve"> public transit system</w:t>
      </w:r>
      <w:r>
        <w:t> </w:t>
      </w:r>
      <w:r w:rsidRPr="00E724D2">
        <w:t xml:space="preserve">». </w:t>
      </w:r>
      <w:proofErr w:type="spellStart"/>
      <w:r w:rsidRPr="00E724D2">
        <w:rPr>
          <w:i/>
        </w:rPr>
        <w:t>Gender</w:t>
      </w:r>
      <w:proofErr w:type="spellEnd"/>
      <w:r w:rsidRPr="00E724D2">
        <w:rPr>
          <w:i/>
        </w:rPr>
        <w:t xml:space="preserve">, Place &amp; </w:t>
      </w:r>
      <w:proofErr w:type="gramStart"/>
      <w:r w:rsidRPr="00E724D2">
        <w:rPr>
          <w:i/>
        </w:rPr>
        <w:t>Culture:</w:t>
      </w:r>
      <w:proofErr w:type="gramEnd"/>
      <w:r w:rsidRPr="00E724D2">
        <w:rPr>
          <w:i/>
        </w:rPr>
        <w:t xml:space="preserve"> A Journal of </w:t>
      </w:r>
      <w:proofErr w:type="spellStart"/>
      <w:r w:rsidRPr="00E724D2">
        <w:rPr>
          <w:i/>
        </w:rPr>
        <w:t>Feminist</w:t>
      </w:r>
      <w:proofErr w:type="spellEnd"/>
      <w:r w:rsidRPr="00E724D2">
        <w:rPr>
          <w:i/>
        </w:rPr>
        <w:t xml:space="preserve"> </w:t>
      </w:r>
      <w:proofErr w:type="spellStart"/>
      <w:r w:rsidRPr="00E724D2">
        <w:rPr>
          <w:i/>
        </w:rPr>
        <w:t>Geography</w:t>
      </w:r>
      <w:proofErr w:type="spellEnd"/>
      <w:r w:rsidRPr="00E724D2">
        <w:t>, vol. 23, n° 5, pp. 1‑17.</w:t>
      </w:r>
    </w:p>
    <w:p w14:paraId="5E3FFE78" w14:textId="77777777" w:rsidR="00ED74CE" w:rsidRDefault="00ED74CE" w:rsidP="00ED74CE">
      <w:pPr>
        <w:pStyle w:val="Biblio"/>
      </w:pPr>
      <w:proofErr w:type="spellStart"/>
      <w:r>
        <w:t>Guenebeaud</w:t>
      </w:r>
      <w:proofErr w:type="spellEnd"/>
      <w:r>
        <w:t>, Camille (2016). « Le corps face à la frontière. Étude de la répression des migrants sans-papiers à la frontière franco-britannique ».</w:t>
      </w:r>
      <w:r>
        <w:rPr>
          <w:spacing w:val="34"/>
        </w:rPr>
        <w:t xml:space="preserve"> </w:t>
      </w:r>
      <w:r>
        <w:rPr>
          <w:i/>
        </w:rPr>
        <w:t>Corps</w:t>
      </w:r>
      <w:r>
        <w:t>, vol. 14, n° 1, pp. 31‑39.</w:t>
      </w:r>
    </w:p>
    <w:p w14:paraId="58121F67" w14:textId="77777777" w:rsidR="00ED74CE" w:rsidRDefault="00ED74CE" w:rsidP="00ED74CE">
      <w:pPr>
        <w:pStyle w:val="Biblio"/>
      </w:pPr>
      <w:proofErr w:type="spellStart"/>
      <w:r>
        <w:lastRenderedPageBreak/>
        <w:t>Hanff</w:t>
      </w:r>
      <w:proofErr w:type="spellEnd"/>
      <w:r>
        <w:t>,</w:t>
      </w:r>
      <w:r>
        <w:rPr>
          <w:spacing w:val="2"/>
        </w:rPr>
        <w:t xml:space="preserve"> </w:t>
      </w:r>
      <w:r>
        <w:t>Cécile</w:t>
      </w:r>
      <w:r>
        <w:rPr>
          <w:spacing w:val="4"/>
        </w:rPr>
        <w:t xml:space="preserve"> </w:t>
      </w:r>
      <w:r>
        <w:t>(2023).</w:t>
      </w:r>
      <w:r>
        <w:rPr>
          <w:spacing w:val="2"/>
        </w:rPr>
        <w:t xml:space="preserve"> </w:t>
      </w:r>
      <w:r>
        <w:t>«</w:t>
      </w:r>
      <w:r>
        <w:rPr>
          <w:spacing w:val="11"/>
        </w:rPr>
        <w:t xml:space="preserve"> </w:t>
      </w:r>
      <w:r>
        <w:t>L’expérience</w:t>
      </w:r>
      <w:r>
        <w:rPr>
          <w:spacing w:val="1"/>
        </w:rPr>
        <w:t xml:space="preserve"> </w:t>
      </w:r>
      <w:r>
        <w:t>de</w:t>
      </w:r>
      <w:r>
        <w:rPr>
          <w:spacing w:val="4"/>
        </w:rPr>
        <w:t xml:space="preserve"> </w:t>
      </w:r>
      <w:r>
        <w:t>la</w:t>
      </w:r>
      <w:r>
        <w:rPr>
          <w:spacing w:val="2"/>
        </w:rPr>
        <w:t xml:space="preserve"> </w:t>
      </w:r>
      <w:r>
        <w:t>fuite,</w:t>
      </w:r>
      <w:r>
        <w:rPr>
          <w:spacing w:val="5"/>
        </w:rPr>
        <w:t xml:space="preserve"> </w:t>
      </w:r>
      <w:r>
        <w:t>phénoménologie</w:t>
      </w:r>
      <w:r>
        <w:rPr>
          <w:spacing w:val="4"/>
        </w:rPr>
        <w:t xml:space="preserve"> </w:t>
      </w:r>
      <w:r>
        <w:t>politique de</w:t>
      </w:r>
      <w:r>
        <w:rPr>
          <w:spacing w:val="2"/>
        </w:rPr>
        <w:t xml:space="preserve"> </w:t>
      </w:r>
      <w:r>
        <w:t>l’ordinaire</w:t>
      </w:r>
      <w:r>
        <w:rPr>
          <w:spacing w:val="15"/>
        </w:rPr>
        <w:t xml:space="preserve"> </w:t>
      </w:r>
      <w:r>
        <w:rPr>
          <w:spacing w:val="-5"/>
        </w:rPr>
        <w:t>».</w:t>
      </w:r>
    </w:p>
    <w:p w14:paraId="4A4B9C24" w14:textId="77777777" w:rsidR="00ED74CE" w:rsidRDefault="00ED74CE" w:rsidP="00ED74CE">
      <w:pPr>
        <w:pStyle w:val="Biblio"/>
      </w:pPr>
      <w:r>
        <w:t>Thèse</w:t>
      </w:r>
      <w:r>
        <w:rPr>
          <w:spacing w:val="7"/>
        </w:rPr>
        <w:t xml:space="preserve"> </w:t>
      </w:r>
      <w:r>
        <w:t>en</w:t>
      </w:r>
      <w:r>
        <w:rPr>
          <w:spacing w:val="9"/>
        </w:rPr>
        <w:t xml:space="preserve"> </w:t>
      </w:r>
      <w:r>
        <w:t>préparation,</w:t>
      </w:r>
      <w:r>
        <w:rPr>
          <w:spacing w:val="9"/>
        </w:rPr>
        <w:t xml:space="preserve"> </w:t>
      </w:r>
      <w:r>
        <w:t>Université</w:t>
      </w:r>
      <w:r>
        <w:rPr>
          <w:spacing w:val="9"/>
        </w:rPr>
        <w:t xml:space="preserve"> </w:t>
      </w:r>
      <w:r>
        <w:t>de</w:t>
      </w:r>
      <w:r>
        <w:rPr>
          <w:spacing w:val="10"/>
        </w:rPr>
        <w:t xml:space="preserve"> </w:t>
      </w:r>
      <w:r>
        <w:t>Toulouse</w:t>
      </w:r>
      <w:r>
        <w:rPr>
          <w:spacing w:val="-5"/>
        </w:rPr>
        <w:t>.</w:t>
      </w:r>
    </w:p>
    <w:p w14:paraId="51B1F63B" w14:textId="77777777" w:rsidR="00ED74CE" w:rsidRDefault="00ED74CE" w:rsidP="00ED74CE">
      <w:pPr>
        <w:pStyle w:val="Biblio"/>
      </w:pPr>
      <w:proofErr w:type="spellStart"/>
      <w:r>
        <w:t>Hily</w:t>
      </w:r>
      <w:proofErr w:type="spellEnd"/>
      <w:r>
        <w:t>,</w:t>
      </w:r>
      <w:r>
        <w:rPr>
          <w:spacing w:val="40"/>
        </w:rPr>
        <w:t xml:space="preserve"> </w:t>
      </w:r>
      <w:r>
        <w:t>Marie-Antoinette,</w:t>
      </w:r>
      <w:r>
        <w:rPr>
          <w:spacing w:val="37"/>
        </w:rPr>
        <w:t xml:space="preserve"> </w:t>
      </w:r>
      <w:r>
        <w:t>et</w:t>
      </w:r>
      <w:r>
        <w:rPr>
          <w:spacing w:val="37"/>
        </w:rPr>
        <w:t xml:space="preserve"> </w:t>
      </w:r>
      <w:r>
        <w:t>Christian</w:t>
      </w:r>
      <w:r>
        <w:rPr>
          <w:spacing w:val="40"/>
        </w:rPr>
        <w:t xml:space="preserve"> </w:t>
      </w:r>
      <w:r>
        <w:t>Poiret</w:t>
      </w:r>
      <w:r>
        <w:rPr>
          <w:spacing w:val="37"/>
        </w:rPr>
        <w:t xml:space="preserve"> </w:t>
      </w:r>
      <w:r>
        <w:t>(2020).</w:t>
      </w:r>
      <w:r>
        <w:rPr>
          <w:spacing w:val="40"/>
        </w:rPr>
        <w:t xml:space="preserve"> </w:t>
      </w:r>
      <w:r>
        <w:t>« Éditorial</w:t>
      </w:r>
      <w:r>
        <w:rPr>
          <w:spacing w:val="-4"/>
        </w:rPr>
        <w:t xml:space="preserve"> </w:t>
      </w:r>
      <w:r>
        <w:t>:</w:t>
      </w:r>
      <w:r>
        <w:rPr>
          <w:spacing w:val="40"/>
        </w:rPr>
        <w:t xml:space="preserve"> </w:t>
      </w:r>
      <w:r>
        <w:t>Situations</w:t>
      </w:r>
      <w:r>
        <w:rPr>
          <w:spacing w:val="37"/>
        </w:rPr>
        <w:t xml:space="preserve"> </w:t>
      </w:r>
      <w:r>
        <w:t>de</w:t>
      </w:r>
      <w:r>
        <w:rPr>
          <w:spacing w:val="39"/>
        </w:rPr>
        <w:t xml:space="preserve"> </w:t>
      </w:r>
      <w:r>
        <w:t>violence</w:t>
      </w:r>
      <w:r>
        <w:rPr>
          <w:spacing w:val="36"/>
        </w:rPr>
        <w:t xml:space="preserve"> </w:t>
      </w:r>
      <w:r>
        <w:t>et migration</w:t>
      </w:r>
      <w:r>
        <w:rPr>
          <w:spacing w:val="21"/>
        </w:rPr>
        <w:t xml:space="preserve"> </w:t>
      </w:r>
      <w:r>
        <w:t>».</w:t>
      </w:r>
      <w:r>
        <w:rPr>
          <w:spacing w:val="4"/>
        </w:rPr>
        <w:t xml:space="preserve"> </w:t>
      </w:r>
      <w:r>
        <w:rPr>
          <w:i/>
        </w:rPr>
        <w:t>Revue</w:t>
      </w:r>
      <w:r>
        <w:rPr>
          <w:i/>
          <w:spacing w:val="1"/>
        </w:rPr>
        <w:t xml:space="preserve"> </w:t>
      </w:r>
      <w:r>
        <w:rPr>
          <w:i/>
        </w:rPr>
        <w:t>européenne</w:t>
      </w:r>
      <w:r>
        <w:rPr>
          <w:i/>
          <w:spacing w:val="3"/>
        </w:rPr>
        <w:t xml:space="preserve"> </w:t>
      </w:r>
      <w:r>
        <w:rPr>
          <w:i/>
        </w:rPr>
        <w:t>des</w:t>
      </w:r>
      <w:r>
        <w:rPr>
          <w:i/>
          <w:spacing w:val="2"/>
        </w:rPr>
        <w:t xml:space="preserve"> </w:t>
      </w:r>
      <w:r>
        <w:rPr>
          <w:i/>
        </w:rPr>
        <w:t>migrations</w:t>
      </w:r>
      <w:r>
        <w:rPr>
          <w:i/>
          <w:spacing w:val="-1"/>
        </w:rPr>
        <w:t xml:space="preserve"> </w:t>
      </w:r>
      <w:r>
        <w:rPr>
          <w:i/>
        </w:rPr>
        <w:t>internationales,</w:t>
      </w:r>
      <w:r>
        <w:rPr>
          <w:i/>
          <w:spacing w:val="4"/>
        </w:rPr>
        <w:t xml:space="preserve"> </w:t>
      </w:r>
      <w:r>
        <w:t>vol.</w:t>
      </w:r>
      <w:r>
        <w:rPr>
          <w:spacing w:val="7"/>
        </w:rPr>
        <w:t xml:space="preserve"> </w:t>
      </w:r>
      <w:r>
        <w:t>36,</w:t>
      </w:r>
      <w:r>
        <w:rPr>
          <w:spacing w:val="-1"/>
        </w:rPr>
        <w:t xml:space="preserve"> </w:t>
      </w:r>
      <w:r>
        <w:t>n°1,</w:t>
      </w:r>
      <w:r>
        <w:rPr>
          <w:spacing w:val="4"/>
        </w:rPr>
        <w:t xml:space="preserve"> </w:t>
      </w:r>
      <w:r>
        <w:t xml:space="preserve">pp. </w:t>
      </w:r>
      <w:r>
        <w:rPr>
          <w:spacing w:val="-4"/>
        </w:rPr>
        <w:t>7‑9.</w:t>
      </w:r>
    </w:p>
    <w:p w14:paraId="33401784" w14:textId="77777777" w:rsidR="00ED74CE" w:rsidRDefault="00ED74CE" w:rsidP="00ED74CE">
      <w:pPr>
        <w:pStyle w:val="Biblio"/>
      </w:pPr>
      <w:proofErr w:type="spellStart"/>
      <w:r>
        <w:t>Jounin</w:t>
      </w:r>
      <w:proofErr w:type="spellEnd"/>
      <w:r>
        <w:t>, Nicolas (2016). Voyage de classes : des étudiants de Seine-Saint-Denis enquêtent dans les beaux quartiers. Paris : La Découverte.</w:t>
      </w:r>
    </w:p>
    <w:p w14:paraId="3CD2F3E0" w14:textId="77777777" w:rsidR="00ED74CE" w:rsidRDefault="00ED74CE" w:rsidP="00ED74CE">
      <w:pPr>
        <w:pStyle w:val="Biblio"/>
      </w:pPr>
      <w:proofErr w:type="spellStart"/>
      <w:r w:rsidRPr="009D16CC">
        <w:t>Kévorkian</w:t>
      </w:r>
      <w:proofErr w:type="spellEnd"/>
      <w:r w:rsidRPr="009D16CC">
        <w:t xml:space="preserve">, R.-H. (2006), « Les camps de concentration de la </w:t>
      </w:r>
      <w:r>
        <w:t>"</w:t>
      </w:r>
      <w:r w:rsidRPr="009D16CC">
        <w:t>Ligne de l’Euphrate</w:t>
      </w:r>
      <w:r>
        <w:t>"</w:t>
      </w:r>
      <w:r w:rsidRPr="009D16CC">
        <w:t xml:space="preserve"> », </w:t>
      </w:r>
      <w:r w:rsidRPr="009D16CC">
        <w:rPr>
          <w:i/>
          <w:iCs/>
        </w:rPr>
        <w:t>Le Génocide des Arméniens</w:t>
      </w:r>
      <w:r w:rsidRPr="009D16CC">
        <w:t xml:space="preserve">, </w:t>
      </w:r>
      <w:r>
        <w:t>p</w:t>
      </w:r>
      <w:r w:rsidRPr="009D16CC">
        <w:t>p. 810-831.</w:t>
      </w:r>
    </w:p>
    <w:p w14:paraId="03E2B8D0" w14:textId="77777777" w:rsidR="00ED74CE" w:rsidRDefault="00ED74CE" w:rsidP="00ED74CE">
      <w:pPr>
        <w:pStyle w:val="Biblio"/>
      </w:pPr>
      <w:r>
        <w:t>Latouche, Alice (2024). « Exposer à la mort pour protéger les frontières</w:t>
      </w:r>
      <w:r>
        <w:rPr>
          <w:spacing w:val="-7"/>
        </w:rPr>
        <w:t xml:space="preserve"> </w:t>
      </w:r>
      <w:r>
        <w:t xml:space="preserve">: une analyse des </w:t>
      </w:r>
      <w:proofErr w:type="spellStart"/>
      <w:r>
        <w:t>pushbacks</w:t>
      </w:r>
      <w:proofErr w:type="spellEnd"/>
      <w:r>
        <w:t xml:space="preserve"> sur la mer Égée</w:t>
      </w:r>
      <w:r>
        <w:rPr>
          <w:spacing w:val="29"/>
        </w:rPr>
        <w:t xml:space="preserve"> </w:t>
      </w:r>
      <w:r>
        <w:t>».</w:t>
      </w:r>
      <w:r>
        <w:rPr>
          <w:spacing w:val="29"/>
        </w:rPr>
        <w:t xml:space="preserve"> </w:t>
      </w:r>
      <w:r>
        <w:rPr>
          <w:i/>
        </w:rPr>
        <w:t>Émulations. Revue de sciences sociales</w:t>
      </w:r>
      <w:r>
        <w:t>, n</w:t>
      </w:r>
      <w:r>
        <w:rPr>
          <w:position w:val="7"/>
          <w:sz w:val="15"/>
        </w:rPr>
        <w:t>o</w:t>
      </w:r>
      <w:r>
        <w:rPr>
          <w:spacing w:val="36"/>
          <w:position w:val="7"/>
          <w:sz w:val="15"/>
        </w:rPr>
        <w:t xml:space="preserve"> </w:t>
      </w:r>
      <w:r>
        <w:t>49, pp. 35-52.</w:t>
      </w:r>
    </w:p>
    <w:p w14:paraId="2BD8AE46" w14:textId="77777777" w:rsidR="00ED74CE" w:rsidRDefault="00ED74CE" w:rsidP="00ED74CE">
      <w:pPr>
        <w:pStyle w:val="Biblio"/>
      </w:pPr>
      <w:r>
        <w:t>Le Blanc, Antoine (2018). « Les territoires rassurants ». Habilitation à Diriger des Recherches - volume 1, Université du littoral-Côte d’Opale.</w:t>
      </w:r>
    </w:p>
    <w:p w14:paraId="32A27B70" w14:textId="77777777" w:rsidR="00ED74CE" w:rsidRDefault="00ED74CE" w:rsidP="00ED74CE">
      <w:pPr>
        <w:pStyle w:val="Biblio"/>
      </w:pPr>
      <w:proofErr w:type="spellStart"/>
      <w:r>
        <w:t>Lieber</w:t>
      </w:r>
      <w:proofErr w:type="spellEnd"/>
      <w:r>
        <w:t xml:space="preserve">, Marylène (2008). </w:t>
      </w:r>
      <w:r>
        <w:rPr>
          <w:i/>
        </w:rPr>
        <w:t>Genre, violences et espaces publics. La vulnérabilité des femmes en question</w:t>
      </w:r>
      <w:r>
        <w:t>. Paris : Presses de la Fondation Nationale des Sciences Politiques.</w:t>
      </w:r>
    </w:p>
    <w:p w14:paraId="1E664085" w14:textId="77777777" w:rsidR="00ED74CE" w:rsidRDefault="00ED74CE" w:rsidP="00ED74CE">
      <w:pPr>
        <w:pStyle w:val="Biblio"/>
      </w:pPr>
      <w:proofErr w:type="spellStart"/>
      <w:r>
        <w:t>Linhardt</w:t>
      </w:r>
      <w:proofErr w:type="spellEnd"/>
      <w:r>
        <w:t>, Dominique, et</w:t>
      </w:r>
      <w:r>
        <w:rPr>
          <w:spacing w:val="-1"/>
        </w:rPr>
        <w:t xml:space="preserve"> </w:t>
      </w:r>
      <w:r>
        <w:t>Cédric Moreau de</w:t>
      </w:r>
      <w:r>
        <w:rPr>
          <w:spacing w:val="-4"/>
        </w:rPr>
        <w:t xml:space="preserve"> </w:t>
      </w:r>
      <w:r>
        <w:t xml:space="preserve">Bellaing (2005). « Légitime violence ? Enquêtes sur la réalité de l’État démocratique ». </w:t>
      </w:r>
      <w:r>
        <w:rPr>
          <w:i/>
        </w:rPr>
        <w:t>Revue française de science politique</w:t>
      </w:r>
      <w:r>
        <w:t>, vol.55, n°2, pp. </w:t>
      </w:r>
      <w:r>
        <w:rPr>
          <w:spacing w:val="-2"/>
        </w:rPr>
        <w:t>269‑98.</w:t>
      </w:r>
    </w:p>
    <w:p w14:paraId="53C5F712" w14:textId="77777777" w:rsidR="00ED74CE" w:rsidRPr="00181F61" w:rsidRDefault="00ED74CE" w:rsidP="00ED74CE">
      <w:pPr>
        <w:pStyle w:val="Biblio"/>
      </w:pPr>
      <w:proofErr w:type="spellStart"/>
      <w:r w:rsidRPr="00181F61">
        <w:t>Lubitow</w:t>
      </w:r>
      <w:proofErr w:type="spellEnd"/>
      <w:r w:rsidRPr="00181F61">
        <w:t>,</w:t>
      </w:r>
      <w:r w:rsidRPr="00181F61">
        <w:rPr>
          <w:spacing w:val="62"/>
        </w:rPr>
        <w:t xml:space="preserve"> </w:t>
      </w:r>
      <w:r w:rsidRPr="00181F61">
        <w:t>Amy,</w:t>
      </w:r>
      <w:r w:rsidRPr="00181F61">
        <w:rPr>
          <w:spacing w:val="61"/>
        </w:rPr>
        <w:t xml:space="preserve"> </w:t>
      </w:r>
      <w:proofErr w:type="spellStart"/>
      <w:r w:rsidRPr="00181F61">
        <w:t>JaDee</w:t>
      </w:r>
      <w:proofErr w:type="spellEnd"/>
      <w:r w:rsidRPr="00181F61">
        <w:rPr>
          <w:spacing w:val="60"/>
        </w:rPr>
        <w:t xml:space="preserve"> </w:t>
      </w:r>
      <w:proofErr w:type="spellStart"/>
      <w:r w:rsidRPr="00181F61">
        <w:t>Carathers</w:t>
      </w:r>
      <w:proofErr w:type="spellEnd"/>
      <w:r w:rsidRPr="00181F61">
        <w:t>,</w:t>
      </w:r>
      <w:r w:rsidRPr="00181F61">
        <w:rPr>
          <w:spacing w:val="63"/>
        </w:rPr>
        <w:t xml:space="preserve"> </w:t>
      </w:r>
      <w:proofErr w:type="spellStart"/>
      <w:r w:rsidRPr="00181F61">
        <w:t>Maura</w:t>
      </w:r>
      <w:proofErr w:type="spellEnd"/>
      <w:r w:rsidRPr="00181F61">
        <w:rPr>
          <w:spacing w:val="59"/>
        </w:rPr>
        <w:t xml:space="preserve"> </w:t>
      </w:r>
      <w:r w:rsidRPr="00181F61">
        <w:t>Kelly,</w:t>
      </w:r>
      <w:r w:rsidRPr="00181F61">
        <w:rPr>
          <w:spacing w:val="61"/>
        </w:rPr>
        <w:t xml:space="preserve"> </w:t>
      </w:r>
      <w:r w:rsidRPr="00181F61">
        <w:t>et</w:t>
      </w:r>
      <w:r w:rsidRPr="00181F61">
        <w:rPr>
          <w:spacing w:val="59"/>
        </w:rPr>
        <w:t xml:space="preserve"> </w:t>
      </w:r>
      <w:r w:rsidRPr="00181F61">
        <w:t>Miriam</w:t>
      </w:r>
      <w:r w:rsidRPr="00181F61">
        <w:rPr>
          <w:spacing w:val="60"/>
        </w:rPr>
        <w:t xml:space="preserve"> </w:t>
      </w:r>
      <w:proofErr w:type="spellStart"/>
      <w:r w:rsidRPr="00181F61">
        <w:t>Abelson</w:t>
      </w:r>
      <w:proofErr w:type="spellEnd"/>
      <w:r w:rsidRPr="00181F61">
        <w:rPr>
          <w:spacing w:val="61"/>
        </w:rPr>
        <w:t xml:space="preserve"> </w:t>
      </w:r>
      <w:r w:rsidRPr="00181F61">
        <w:rPr>
          <w:spacing w:val="-2"/>
        </w:rPr>
        <w:t>(2017).</w:t>
      </w:r>
    </w:p>
    <w:p w14:paraId="6CA455B0" w14:textId="77777777" w:rsidR="00ED74CE" w:rsidRDefault="00ED74CE" w:rsidP="00ED74CE">
      <w:pPr>
        <w:pStyle w:val="Biblio"/>
      </w:pPr>
      <w:r w:rsidRPr="00E724D2">
        <w:t xml:space="preserve">« </w:t>
      </w:r>
      <w:proofErr w:type="spellStart"/>
      <w:proofErr w:type="gramStart"/>
      <w:r w:rsidRPr="00E724D2">
        <w:t>Transmobilities</w:t>
      </w:r>
      <w:proofErr w:type="spellEnd"/>
      <w:r w:rsidRPr="00E724D2">
        <w:t>:</w:t>
      </w:r>
      <w:proofErr w:type="gramEnd"/>
      <w:r w:rsidRPr="00E724D2">
        <w:t xml:space="preserve"> </w:t>
      </w:r>
      <w:proofErr w:type="spellStart"/>
      <w:r w:rsidRPr="00E724D2">
        <w:t>Mobility</w:t>
      </w:r>
      <w:proofErr w:type="spellEnd"/>
      <w:r w:rsidRPr="00E724D2">
        <w:t xml:space="preserve">, </w:t>
      </w:r>
      <w:proofErr w:type="spellStart"/>
      <w:r w:rsidRPr="00E724D2">
        <w:t>Harassment</w:t>
      </w:r>
      <w:proofErr w:type="spellEnd"/>
      <w:r w:rsidRPr="00E724D2">
        <w:t xml:space="preserve">, and Violence </w:t>
      </w:r>
      <w:proofErr w:type="spellStart"/>
      <w:r w:rsidRPr="00E724D2">
        <w:t>Experienced</w:t>
      </w:r>
      <w:proofErr w:type="spellEnd"/>
      <w:r w:rsidRPr="00E724D2">
        <w:t xml:space="preserve"> by </w:t>
      </w:r>
      <w:proofErr w:type="spellStart"/>
      <w:r w:rsidRPr="00E724D2">
        <w:t>Transgender</w:t>
      </w:r>
      <w:proofErr w:type="spellEnd"/>
      <w:r w:rsidRPr="00E724D2">
        <w:t xml:space="preserve"> and</w:t>
      </w:r>
      <w:r w:rsidRPr="00E724D2">
        <w:rPr>
          <w:spacing w:val="80"/>
        </w:rPr>
        <w:t xml:space="preserve"> </w:t>
      </w:r>
      <w:proofErr w:type="spellStart"/>
      <w:r w:rsidRPr="00E724D2">
        <w:t>Gender</w:t>
      </w:r>
      <w:proofErr w:type="spellEnd"/>
      <w:r w:rsidRPr="00E724D2">
        <w:t xml:space="preserve"> </w:t>
      </w:r>
      <w:proofErr w:type="spellStart"/>
      <w:r w:rsidRPr="00E724D2">
        <w:t>Nonconforming</w:t>
      </w:r>
      <w:proofErr w:type="spellEnd"/>
      <w:r w:rsidRPr="00E724D2">
        <w:t xml:space="preserve"> Public Transit Riders in Portland, Oregon ». </w:t>
      </w:r>
      <w:proofErr w:type="spellStart"/>
      <w:r>
        <w:rPr>
          <w:i/>
        </w:rPr>
        <w:t>Gender</w:t>
      </w:r>
      <w:proofErr w:type="spellEnd"/>
      <w:r>
        <w:rPr>
          <w:i/>
        </w:rPr>
        <w:t>, Place &amp;</w:t>
      </w:r>
      <w:r>
        <w:rPr>
          <w:i/>
          <w:spacing w:val="-4"/>
        </w:rPr>
        <w:t xml:space="preserve"> </w:t>
      </w:r>
      <w:r>
        <w:rPr>
          <w:i/>
        </w:rPr>
        <w:t>Culture</w:t>
      </w:r>
      <w:r>
        <w:t>, vol. 24, n° 10, pp. 1398‑1418.</w:t>
      </w:r>
    </w:p>
    <w:p w14:paraId="77782D35" w14:textId="77777777" w:rsidR="00ED74CE" w:rsidRDefault="00ED74CE" w:rsidP="00ED74CE">
      <w:pPr>
        <w:pStyle w:val="Biblio"/>
      </w:pPr>
      <w:proofErr w:type="spellStart"/>
      <w:r>
        <w:t>Mbembe</w:t>
      </w:r>
      <w:proofErr w:type="spellEnd"/>
      <w:r>
        <w:t>,</w:t>
      </w:r>
      <w:r>
        <w:rPr>
          <w:spacing w:val="13"/>
        </w:rPr>
        <w:t xml:space="preserve"> </w:t>
      </w:r>
      <w:r>
        <w:t>Achille</w:t>
      </w:r>
      <w:r>
        <w:rPr>
          <w:spacing w:val="12"/>
        </w:rPr>
        <w:t xml:space="preserve"> </w:t>
      </w:r>
      <w:r>
        <w:t>(2006).</w:t>
      </w:r>
      <w:r>
        <w:rPr>
          <w:spacing w:val="17"/>
        </w:rPr>
        <w:t xml:space="preserve"> </w:t>
      </w:r>
      <w:r>
        <w:t>«</w:t>
      </w:r>
      <w:r>
        <w:rPr>
          <w:spacing w:val="3"/>
        </w:rPr>
        <w:t xml:space="preserve"> </w:t>
      </w:r>
      <w:proofErr w:type="spellStart"/>
      <w:r>
        <w:t>Nécropolitique</w:t>
      </w:r>
      <w:proofErr w:type="spellEnd"/>
      <w:r>
        <w:rPr>
          <w:spacing w:val="16"/>
        </w:rPr>
        <w:t xml:space="preserve"> </w:t>
      </w:r>
      <w:r>
        <w:t>».</w:t>
      </w:r>
      <w:r>
        <w:rPr>
          <w:spacing w:val="16"/>
        </w:rPr>
        <w:t xml:space="preserve"> </w:t>
      </w:r>
      <w:r>
        <w:rPr>
          <w:i/>
        </w:rPr>
        <w:t>Raisons</w:t>
      </w:r>
      <w:r>
        <w:rPr>
          <w:i/>
          <w:spacing w:val="14"/>
        </w:rPr>
        <w:t xml:space="preserve"> </w:t>
      </w:r>
      <w:r>
        <w:rPr>
          <w:i/>
        </w:rPr>
        <w:t>politiques</w:t>
      </w:r>
      <w:r>
        <w:t>,</w:t>
      </w:r>
      <w:r>
        <w:rPr>
          <w:spacing w:val="11"/>
        </w:rPr>
        <w:t xml:space="preserve"> </w:t>
      </w:r>
      <w:r>
        <w:t>vol.21,</w:t>
      </w:r>
      <w:r>
        <w:rPr>
          <w:spacing w:val="11"/>
        </w:rPr>
        <w:t xml:space="preserve"> </w:t>
      </w:r>
      <w:r>
        <w:t>n°1,</w:t>
      </w:r>
      <w:r>
        <w:rPr>
          <w:spacing w:val="11"/>
        </w:rPr>
        <w:t xml:space="preserve"> </w:t>
      </w:r>
      <w:r>
        <w:t>pp.</w:t>
      </w:r>
      <w:r>
        <w:rPr>
          <w:spacing w:val="13"/>
        </w:rPr>
        <w:t xml:space="preserve"> </w:t>
      </w:r>
      <w:r>
        <w:rPr>
          <w:spacing w:val="-2"/>
        </w:rPr>
        <w:t>29‑60.</w:t>
      </w:r>
    </w:p>
    <w:p w14:paraId="586B3639" w14:textId="77777777" w:rsidR="00ED74CE" w:rsidRDefault="00ED74CE" w:rsidP="00ED74CE">
      <w:pPr>
        <w:pStyle w:val="Biblio"/>
      </w:pPr>
      <w:proofErr w:type="spellStart"/>
      <w:r>
        <w:t>Millinship</w:t>
      </w:r>
      <w:proofErr w:type="spellEnd"/>
      <w:r>
        <w:t xml:space="preserve"> </w:t>
      </w:r>
      <w:proofErr w:type="spellStart"/>
      <w:r>
        <w:t>Brisard</w:t>
      </w:r>
      <w:proofErr w:type="spellEnd"/>
      <w:r>
        <w:t>, Jo (2022). « Fuir les violences Quand fuir signifie résister à l’ordre masculiniste et colonial dominant ». Mémoire de Master 2 de Géopolitique, Reims : Université de Reims Champagne-Ardenne.</w:t>
      </w:r>
    </w:p>
    <w:p w14:paraId="240C1F2C" w14:textId="77777777" w:rsidR="00ED74CE" w:rsidRPr="00E724D2" w:rsidRDefault="00ED74CE" w:rsidP="00ED74CE">
      <w:pPr>
        <w:pStyle w:val="Biblio"/>
      </w:pPr>
      <w:r>
        <w:t>Pain,</w:t>
      </w:r>
      <w:r>
        <w:rPr>
          <w:spacing w:val="14"/>
        </w:rPr>
        <w:t xml:space="preserve"> </w:t>
      </w:r>
      <w:r>
        <w:t>Rachel,</w:t>
      </w:r>
      <w:r>
        <w:rPr>
          <w:spacing w:val="14"/>
        </w:rPr>
        <w:t xml:space="preserve"> </w:t>
      </w:r>
      <w:r>
        <w:t>et</w:t>
      </w:r>
      <w:r>
        <w:rPr>
          <w:spacing w:val="11"/>
        </w:rPr>
        <w:t xml:space="preserve"> </w:t>
      </w:r>
      <w:r>
        <w:t>Lynn</w:t>
      </w:r>
      <w:r>
        <w:rPr>
          <w:spacing w:val="14"/>
        </w:rPr>
        <w:t xml:space="preserve"> </w:t>
      </w:r>
      <w:proofErr w:type="spellStart"/>
      <w:r>
        <w:t>Staeheli</w:t>
      </w:r>
      <w:proofErr w:type="spellEnd"/>
      <w:r>
        <w:rPr>
          <w:spacing w:val="14"/>
        </w:rPr>
        <w:t xml:space="preserve"> </w:t>
      </w:r>
      <w:r>
        <w:t>(2014).</w:t>
      </w:r>
      <w:r>
        <w:rPr>
          <w:spacing w:val="17"/>
        </w:rPr>
        <w:t xml:space="preserve"> </w:t>
      </w:r>
      <w:r w:rsidRPr="00E724D2">
        <w:t>«</w:t>
      </w:r>
      <w:r w:rsidRPr="00E724D2">
        <w:rPr>
          <w:spacing w:val="8"/>
        </w:rPr>
        <w:t xml:space="preserve"> </w:t>
      </w:r>
      <w:proofErr w:type="gramStart"/>
      <w:r w:rsidRPr="00E724D2">
        <w:t>Introduction:</w:t>
      </w:r>
      <w:proofErr w:type="gramEnd"/>
      <w:r w:rsidRPr="00E724D2">
        <w:rPr>
          <w:spacing w:val="14"/>
        </w:rPr>
        <w:t xml:space="preserve"> </w:t>
      </w:r>
      <w:proofErr w:type="spellStart"/>
      <w:r w:rsidRPr="00E724D2">
        <w:t>intimacy-geopolitics</w:t>
      </w:r>
      <w:proofErr w:type="spellEnd"/>
      <w:r w:rsidRPr="00E724D2">
        <w:rPr>
          <w:spacing w:val="8"/>
        </w:rPr>
        <w:t xml:space="preserve"> </w:t>
      </w:r>
      <w:r w:rsidRPr="00E724D2">
        <w:t>and</w:t>
      </w:r>
      <w:r w:rsidRPr="00E724D2">
        <w:rPr>
          <w:spacing w:val="11"/>
        </w:rPr>
        <w:t xml:space="preserve"> </w:t>
      </w:r>
      <w:r w:rsidRPr="00E724D2">
        <w:t>violence</w:t>
      </w:r>
      <w:r w:rsidRPr="00E724D2">
        <w:rPr>
          <w:spacing w:val="17"/>
        </w:rPr>
        <w:t xml:space="preserve"> </w:t>
      </w:r>
      <w:r w:rsidRPr="00E724D2">
        <w:rPr>
          <w:spacing w:val="-5"/>
        </w:rPr>
        <w:t>».</w:t>
      </w:r>
    </w:p>
    <w:p w14:paraId="00149522" w14:textId="77777777" w:rsidR="00ED74CE" w:rsidRPr="009A7EA1" w:rsidRDefault="00ED74CE" w:rsidP="00ED74CE">
      <w:pPr>
        <w:pStyle w:val="Biblio"/>
      </w:pPr>
      <w:r w:rsidRPr="009A7EA1">
        <w:rPr>
          <w:i/>
        </w:rPr>
        <w:t>Area</w:t>
      </w:r>
      <w:r w:rsidRPr="009A7EA1">
        <w:t>,</w:t>
      </w:r>
      <w:r w:rsidRPr="009A7EA1">
        <w:rPr>
          <w:spacing w:val="6"/>
        </w:rPr>
        <w:t xml:space="preserve"> </w:t>
      </w:r>
      <w:r w:rsidRPr="009A7EA1">
        <w:t>vol.</w:t>
      </w:r>
      <w:r w:rsidRPr="009A7EA1">
        <w:rPr>
          <w:spacing w:val="7"/>
        </w:rPr>
        <w:t xml:space="preserve"> </w:t>
      </w:r>
      <w:r w:rsidRPr="009A7EA1">
        <w:t>46,</w:t>
      </w:r>
      <w:r w:rsidRPr="009A7EA1">
        <w:rPr>
          <w:spacing w:val="7"/>
        </w:rPr>
        <w:t xml:space="preserve"> </w:t>
      </w:r>
      <w:r w:rsidRPr="009A7EA1">
        <w:t>n°</w:t>
      </w:r>
      <w:r w:rsidRPr="009A7EA1">
        <w:rPr>
          <w:spacing w:val="3"/>
        </w:rPr>
        <w:t xml:space="preserve"> </w:t>
      </w:r>
      <w:r w:rsidRPr="009A7EA1">
        <w:t>4,</w:t>
      </w:r>
      <w:r w:rsidRPr="009A7EA1">
        <w:rPr>
          <w:spacing w:val="7"/>
        </w:rPr>
        <w:t xml:space="preserve"> </w:t>
      </w:r>
      <w:r w:rsidRPr="009A7EA1">
        <w:t>pp.</w:t>
      </w:r>
      <w:r w:rsidRPr="009A7EA1">
        <w:rPr>
          <w:spacing w:val="7"/>
        </w:rPr>
        <w:t xml:space="preserve"> </w:t>
      </w:r>
      <w:r w:rsidRPr="009A7EA1">
        <w:rPr>
          <w:spacing w:val="-2"/>
        </w:rPr>
        <w:t>344‑47.</w:t>
      </w:r>
    </w:p>
    <w:p w14:paraId="30A9EB08" w14:textId="77777777" w:rsidR="00ED74CE" w:rsidRDefault="00ED74CE" w:rsidP="00ED74CE">
      <w:pPr>
        <w:pStyle w:val="Biblio"/>
      </w:pPr>
      <w:r w:rsidRPr="009A7EA1">
        <w:rPr>
          <w:lang w:val="en-US"/>
        </w:rPr>
        <w:t xml:space="preserve">Peltier, Emma (2023). </w:t>
      </w:r>
      <w:r>
        <w:t>« De marge en marge, les mobilités au centre du quotidien des femmes "roms" ». Thèse de doctorat, Université Paris-Est.</w:t>
      </w:r>
    </w:p>
    <w:p w14:paraId="01AA55CC" w14:textId="77777777" w:rsidR="00ED74CE" w:rsidRDefault="00ED74CE" w:rsidP="00ED74CE">
      <w:pPr>
        <w:pStyle w:val="Biblio"/>
      </w:pPr>
      <w:proofErr w:type="spellStart"/>
      <w:r w:rsidRPr="009D16CC">
        <w:t>Phay-Vakalis</w:t>
      </w:r>
      <w:proofErr w:type="spellEnd"/>
      <w:r w:rsidRPr="009D16CC">
        <w:t xml:space="preserve">, S. (2008), « Le génocide cambodgien. Déni et justice », </w:t>
      </w:r>
      <w:r w:rsidRPr="009D16CC">
        <w:rPr>
          <w:i/>
          <w:iCs/>
        </w:rPr>
        <w:t>Études</w:t>
      </w:r>
      <w:r w:rsidRPr="009D16CC">
        <w:t xml:space="preserve">, </w:t>
      </w:r>
      <w:r>
        <w:t>vol. </w:t>
      </w:r>
      <w:r w:rsidRPr="009D16CC">
        <w:t>408</w:t>
      </w:r>
      <w:r>
        <w:t>, n°</w:t>
      </w:r>
      <w:r w:rsidRPr="009D16CC">
        <w:t xml:space="preserve">3, </w:t>
      </w:r>
      <w:r>
        <w:t>p</w:t>
      </w:r>
      <w:r w:rsidRPr="009D16CC">
        <w:t>p. 297-307.</w:t>
      </w:r>
    </w:p>
    <w:p w14:paraId="7EAA2396" w14:textId="77777777" w:rsidR="00ED74CE" w:rsidRDefault="00ED74CE" w:rsidP="00ED74CE">
      <w:pPr>
        <w:pStyle w:val="Biblio"/>
      </w:pPr>
      <w:proofErr w:type="spellStart"/>
      <w:r>
        <w:t>Piterbraut-Merx</w:t>
      </w:r>
      <w:proofErr w:type="spellEnd"/>
      <w:r>
        <w:t>,</w:t>
      </w:r>
      <w:r>
        <w:rPr>
          <w:spacing w:val="26"/>
        </w:rPr>
        <w:t xml:space="preserve"> </w:t>
      </w:r>
      <w:r>
        <w:t>Tal</w:t>
      </w:r>
      <w:r>
        <w:rPr>
          <w:spacing w:val="25"/>
        </w:rPr>
        <w:t xml:space="preserve"> </w:t>
      </w:r>
      <w:r>
        <w:t>(2024).</w:t>
      </w:r>
      <w:r>
        <w:rPr>
          <w:spacing w:val="29"/>
        </w:rPr>
        <w:t xml:space="preserve"> </w:t>
      </w:r>
      <w:r>
        <w:t>La</w:t>
      </w:r>
      <w:r>
        <w:rPr>
          <w:spacing w:val="24"/>
        </w:rPr>
        <w:t xml:space="preserve"> </w:t>
      </w:r>
      <w:r>
        <w:t>domination</w:t>
      </w:r>
      <w:r>
        <w:rPr>
          <w:spacing w:val="21"/>
        </w:rPr>
        <w:t xml:space="preserve"> </w:t>
      </w:r>
      <w:r>
        <w:t>oubliée</w:t>
      </w:r>
      <w:r>
        <w:rPr>
          <w:spacing w:val="2"/>
        </w:rPr>
        <w:t xml:space="preserve"> </w:t>
      </w:r>
      <w:r>
        <w:t>:</w:t>
      </w:r>
      <w:r>
        <w:rPr>
          <w:spacing w:val="22"/>
        </w:rPr>
        <w:t xml:space="preserve"> </w:t>
      </w:r>
      <w:r>
        <w:t>Politiser</w:t>
      </w:r>
      <w:r>
        <w:rPr>
          <w:spacing w:val="24"/>
        </w:rPr>
        <w:t xml:space="preserve"> </w:t>
      </w:r>
      <w:r>
        <w:t>les</w:t>
      </w:r>
      <w:r>
        <w:rPr>
          <w:spacing w:val="21"/>
        </w:rPr>
        <w:t xml:space="preserve"> </w:t>
      </w:r>
      <w:r>
        <w:t>rapports</w:t>
      </w:r>
      <w:r>
        <w:rPr>
          <w:spacing w:val="26"/>
        </w:rPr>
        <w:t xml:space="preserve"> </w:t>
      </w:r>
      <w:r>
        <w:t>adulte-</w:t>
      </w:r>
      <w:r>
        <w:rPr>
          <w:spacing w:val="-2"/>
        </w:rPr>
        <w:t>enfant.</w:t>
      </w:r>
    </w:p>
    <w:p w14:paraId="60241F56" w14:textId="77777777" w:rsidR="00ED74CE" w:rsidRPr="009A7EA1" w:rsidRDefault="00ED74CE" w:rsidP="00ED74CE">
      <w:pPr>
        <w:pStyle w:val="Biblio"/>
      </w:pPr>
      <w:r w:rsidRPr="009A7EA1">
        <w:t>Paris</w:t>
      </w:r>
      <w:r w:rsidRPr="009A7EA1">
        <w:rPr>
          <w:spacing w:val="7"/>
        </w:rPr>
        <w:t xml:space="preserve"> </w:t>
      </w:r>
      <w:r w:rsidRPr="009A7EA1">
        <w:t>:</w:t>
      </w:r>
      <w:r w:rsidRPr="009A7EA1">
        <w:rPr>
          <w:spacing w:val="6"/>
        </w:rPr>
        <w:t xml:space="preserve"> </w:t>
      </w:r>
      <w:r w:rsidRPr="009A7EA1">
        <w:rPr>
          <w:spacing w:val="-2"/>
        </w:rPr>
        <w:t>Blast.</w:t>
      </w:r>
    </w:p>
    <w:p w14:paraId="64D3168F" w14:textId="77777777" w:rsidR="00ED74CE" w:rsidRDefault="00ED74CE" w:rsidP="00ED74CE">
      <w:pPr>
        <w:pStyle w:val="Biblio"/>
      </w:pPr>
      <w:r w:rsidRPr="009A7EA1">
        <w:rPr>
          <w:lang w:val="en-US"/>
        </w:rPr>
        <w:t xml:space="preserve">Reemtsma, Jan Philipp (2008). </w:t>
      </w:r>
      <w:r>
        <w:t>Confiance et violence. Essai sur une configuration particulière de la modernité. Paris : Gallimard.</w:t>
      </w:r>
    </w:p>
    <w:p w14:paraId="11155082" w14:textId="77777777" w:rsidR="00ED74CE" w:rsidRPr="00E724D2" w:rsidRDefault="00ED74CE" w:rsidP="00ED74CE">
      <w:pPr>
        <w:pStyle w:val="Biblio"/>
        <w:rPr>
          <w:lang w:val="en-US"/>
        </w:rPr>
      </w:pPr>
      <w:r>
        <w:t>San</w:t>
      </w:r>
      <w:r>
        <w:rPr>
          <w:spacing w:val="34"/>
        </w:rPr>
        <w:t xml:space="preserve"> </w:t>
      </w:r>
      <w:r>
        <w:t>Martin</w:t>
      </w:r>
      <w:r>
        <w:rPr>
          <w:spacing w:val="31"/>
        </w:rPr>
        <w:t xml:space="preserve"> </w:t>
      </w:r>
      <w:r>
        <w:t>Zapatero,</w:t>
      </w:r>
      <w:r>
        <w:rPr>
          <w:spacing w:val="37"/>
        </w:rPr>
        <w:t xml:space="preserve"> </w:t>
      </w:r>
      <w:proofErr w:type="spellStart"/>
      <w:r>
        <w:t>Évangelina</w:t>
      </w:r>
      <w:proofErr w:type="spellEnd"/>
      <w:r>
        <w:t>.</w:t>
      </w:r>
      <w:r>
        <w:rPr>
          <w:spacing w:val="34"/>
        </w:rPr>
        <w:t xml:space="preserve"> (</w:t>
      </w:r>
      <w:r>
        <w:t>2019).</w:t>
      </w:r>
      <w:r>
        <w:rPr>
          <w:spacing w:val="37"/>
        </w:rPr>
        <w:t xml:space="preserve"> </w:t>
      </w:r>
      <w:r w:rsidRPr="00181F61">
        <w:rPr>
          <w:i/>
        </w:rPr>
        <w:t>La</w:t>
      </w:r>
      <w:r w:rsidRPr="00181F61">
        <w:rPr>
          <w:i/>
          <w:spacing w:val="38"/>
        </w:rPr>
        <w:t xml:space="preserve"> </w:t>
      </w:r>
      <w:r w:rsidRPr="00181F61">
        <w:rPr>
          <w:i/>
        </w:rPr>
        <w:t>dimension</w:t>
      </w:r>
      <w:r w:rsidRPr="00181F61">
        <w:rPr>
          <w:i/>
          <w:spacing w:val="34"/>
        </w:rPr>
        <w:t xml:space="preserve"> </w:t>
      </w:r>
      <w:r w:rsidRPr="00181F61">
        <w:rPr>
          <w:i/>
        </w:rPr>
        <w:t>spatiale</w:t>
      </w:r>
      <w:r w:rsidRPr="00181F61">
        <w:rPr>
          <w:i/>
          <w:spacing w:val="34"/>
        </w:rPr>
        <w:t xml:space="preserve"> </w:t>
      </w:r>
      <w:r w:rsidRPr="00181F61">
        <w:rPr>
          <w:i/>
        </w:rPr>
        <w:t>de</w:t>
      </w:r>
      <w:r w:rsidRPr="00181F61">
        <w:rPr>
          <w:i/>
          <w:spacing w:val="38"/>
        </w:rPr>
        <w:t xml:space="preserve"> </w:t>
      </w:r>
      <w:r w:rsidRPr="00181F61">
        <w:rPr>
          <w:i/>
        </w:rPr>
        <w:t>la</w:t>
      </w:r>
      <w:r w:rsidRPr="00181F61">
        <w:rPr>
          <w:i/>
          <w:spacing w:val="34"/>
        </w:rPr>
        <w:t xml:space="preserve"> </w:t>
      </w:r>
      <w:r w:rsidRPr="00181F61">
        <w:rPr>
          <w:i/>
        </w:rPr>
        <w:t>violence</w:t>
      </w:r>
      <w:r w:rsidRPr="00181F61">
        <w:rPr>
          <w:i/>
          <w:spacing w:val="33"/>
        </w:rPr>
        <w:t xml:space="preserve"> </w:t>
      </w:r>
      <w:r w:rsidRPr="00181F61">
        <w:rPr>
          <w:i/>
        </w:rPr>
        <w:t>conjugale</w:t>
      </w:r>
      <w:r>
        <w:rPr>
          <w:i/>
        </w:rPr>
        <w:t>.</w:t>
      </w:r>
      <w:r>
        <w:t xml:space="preserve"> Thèse de doctorat, Université Bordeaux Montaigne. </w:t>
      </w:r>
      <w:r w:rsidRPr="00181F61">
        <w:lastRenderedPageBreak/>
        <w:t>Schenk,</w:t>
      </w:r>
      <w:r w:rsidRPr="00181F61">
        <w:rPr>
          <w:spacing w:val="40"/>
        </w:rPr>
        <w:t xml:space="preserve"> </w:t>
      </w:r>
      <w:r w:rsidRPr="00181F61">
        <w:t>Christine</w:t>
      </w:r>
      <w:r w:rsidRPr="00181F61">
        <w:rPr>
          <w:spacing w:val="40"/>
        </w:rPr>
        <w:t xml:space="preserve"> </w:t>
      </w:r>
      <w:r w:rsidRPr="00181F61">
        <w:t>Giulia,</w:t>
      </w:r>
      <w:r w:rsidRPr="00181F61">
        <w:rPr>
          <w:spacing w:val="40"/>
        </w:rPr>
        <w:t xml:space="preserve"> </w:t>
      </w:r>
      <w:r w:rsidRPr="00181F61">
        <w:t>Banu</w:t>
      </w:r>
      <w:r w:rsidRPr="00181F61">
        <w:rPr>
          <w:spacing w:val="40"/>
        </w:rPr>
        <w:t xml:space="preserve"> </w:t>
      </w:r>
      <w:proofErr w:type="spellStart"/>
      <w:r w:rsidRPr="00181F61">
        <w:t>Gökarıksel</w:t>
      </w:r>
      <w:proofErr w:type="spellEnd"/>
      <w:r w:rsidRPr="00181F61">
        <w:t>,</w:t>
      </w:r>
      <w:r w:rsidRPr="00181F61">
        <w:rPr>
          <w:spacing w:val="40"/>
        </w:rPr>
        <w:t xml:space="preserve"> </w:t>
      </w:r>
      <w:r w:rsidRPr="00181F61">
        <w:t>et</w:t>
      </w:r>
      <w:r w:rsidRPr="00181F61">
        <w:rPr>
          <w:spacing w:val="40"/>
        </w:rPr>
        <w:t xml:space="preserve"> </w:t>
      </w:r>
      <w:proofErr w:type="spellStart"/>
      <w:r w:rsidRPr="00181F61">
        <w:t>Negar</w:t>
      </w:r>
      <w:proofErr w:type="spellEnd"/>
      <w:r w:rsidRPr="00181F61">
        <w:rPr>
          <w:spacing w:val="40"/>
        </w:rPr>
        <w:t xml:space="preserve"> </w:t>
      </w:r>
      <w:r w:rsidRPr="00181F61">
        <w:t>Elodie</w:t>
      </w:r>
      <w:r w:rsidRPr="00181F61">
        <w:rPr>
          <w:spacing w:val="40"/>
        </w:rPr>
        <w:t xml:space="preserve"> </w:t>
      </w:r>
      <w:proofErr w:type="spellStart"/>
      <w:r w:rsidRPr="00181F61">
        <w:t>Behzadi</w:t>
      </w:r>
      <w:proofErr w:type="spellEnd"/>
      <w:r w:rsidRPr="00181F61">
        <w:rPr>
          <w:spacing w:val="40"/>
        </w:rPr>
        <w:t xml:space="preserve"> </w:t>
      </w:r>
      <w:r w:rsidRPr="00181F61">
        <w:t>(2022).</w:t>
      </w:r>
      <w:r w:rsidRPr="00181F61">
        <w:rPr>
          <w:spacing w:val="40"/>
        </w:rPr>
        <w:t xml:space="preserve"> </w:t>
      </w:r>
      <w:r w:rsidRPr="00E724D2">
        <w:rPr>
          <w:lang w:val="en-US"/>
        </w:rPr>
        <w:t xml:space="preserve">« Security, </w:t>
      </w:r>
      <w:proofErr w:type="gramStart"/>
      <w:r w:rsidRPr="00E724D2">
        <w:rPr>
          <w:lang w:val="en-US"/>
        </w:rPr>
        <w:t>violence,</w:t>
      </w:r>
      <w:r w:rsidRPr="00E724D2">
        <w:rPr>
          <w:spacing w:val="29"/>
          <w:lang w:val="en-US"/>
        </w:rPr>
        <w:t xml:space="preserve">  </w:t>
      </w:r>
      <w:r w:rsidRPr="00E724D2">
        <w:rPr>
          <w:lang w:val="en-US"/>
        </w:rPr>
        <w:t>and</w:t>
      </w:r>
      <w:proofErr w:type="gramEnd"/>
      <w:r w:rsidRPr="00E724D2">
        <w:rPr>
          <w:spacing w:val="30"/>
          <w:lang w:val="en-US"/>
        </w:rPr>
        <w:t xml:space="preserve">  </w:t>
      </w:r>
      <w:r w:rsidRPr="00E724D2">
        <w:rPr>
          <w:lang w:val="en-US"/>
        </w:rPr>
        <w:t>mobility:</w:t>
      </w:r>
      <w:r w:rsidRPr="00E724D2">
        <w:rPr>
          <w:spacing w:val="32"/>
          <w:lang w:val="en-US"/>
        </w:rPr>
        <w:t xml:space="preserve">  </w:t>
      </w:r>
      <w:proofErr w:type="gramStart"/>
      <w:r w:rsidRPr="00E724D2">
        <w:rPr>
          <w:lang w:val="en-US"/>
        </w:rPr>
        <w:t>The</w:t>
      </w:r>
      <w:r w:rsidRPr="00E724D2">
        <w:rPr>
          <w:spacing w:val="30"/>
          <w:lang w:val="en-US"/>
        </w:rPr>
        <w:t xml:space="preserve">  </w:t>
      </w:r>
      <w:r w:rsidRPr="00E724D2">
        <w:rPr>
          <w:lang w:val="en-US"/>
        </w:rPr>
        <w:t>embodied</w:t>
      </w:r>
      <w:proofErr w:type="gramEnd"/>
      <w:r w:rsidRPr="00E724D2">
        <w:rPr>
          <w:spacing w:val="28"/>
          <w:lang w:val="en-US"/>
        </w:rPr>
        <w:t xml:space="preserve">  </w:t>
      </w:r>
      <w:proofErr w:type="gramStart"/>
      <w:r w:rsidRPr="00E724D2">
        <w:rPr>
          <w:lang w:val="en-US"/>
        </w:rPr>
        <w:t>and</w:t>
      </w:r>
      <w:r w:rsidRPr="00E724D2">
        <w:rPr>
          <w:spacing w:val="30"/>
          <w:lang w:val="en-US"/>
        </w:rPr>
        <w:t xml:space="preserve">  </w:t>
      </w:r>
      <w:r w:rsidRPr="00E724D2">
        <w:rPr>
          <w:lang w:val="en-US"/>
        </w:rPr>
        <w:t>everyday</w:t>
      </w:r>
      <w:proofErr w:type="gramEnd"/>
      <w:r w:rsidRPr="00E724D2">
        <w:rPr>
          <w:spacing w:val="29"/>
          <w:lang w:val="en-US"/>
        </w:rPr>
        <w:t xml:space="preserve">  </w:t>
      </w:r>
      <w:proofErr w:type="gramStart"/>
      <w:r w:rsidRPr="00E724D2">
        <w:rPr>
          <w:lang w:val="en-US"/>
        </w:rPr>
        <w:t>politics</w:t>
      </w:r>
      <w:r w:rsidRPr="00E724D2">
        <w:rPr>
          <w:spacing w:val="30"/>
          <w:lang w:val="en-US"/>
        </w:rPr>
        <w:t xml:space="preserve">  </w:t>
      </w:r>
      <w:r w:rsidRPr="00E724D2">
        <w:rPr>
          <w:lang w:val="en-US"/>
        </w:rPr>
        <w:t>of</w:t>
      </w:r>
      <w:proofErr w:type="gramEnd"/>
      <w:r w:rsidRPr="00E724D2">
        <w:rPr>
          <w:spacing w:val="30"/>
          <w:lang w:val="en-US"/>
        </w:rPr>
        <w:t xml:space="preserve">  </w:t>
      </w:r>
      <w:proofErr w:type="gramStart"/>
      <w:r w:rsidRPr="00E724D2">
        <w:rPr>
          <w:lang w:val="en-US"/>
        </w:rPr>
        <w:t>negotiating</w:t>
      </w:r>
      <w:r w:rsidRPr="00E724D2">
        <w:rPr>
          <w:spacing w:val="30"/>
          <w:lang w:val="en-US"/>
        </w:rPr>
        <w:t xml:space="preserve">  </w:t>
      </w:r>
      <w:r w:rsidRPr="00E724D2">
        <w:rPr>
          <w:spacing w:val="-2"/>
          <w:lang w:val="en-US"/>
        </w:rPr>
        <w:t>Muslim</w:t>
      </w:r>
      <w:proofErr w:type="gramEnd"/>
    </w:p>
    <w:p w14:paraId="79BE358F" w14:textId="77777777" w:rsidR="00ED74CE" w:rsidRPr="009A7EA1" w:rsidRDefault="00ED74CE" w:rsidP="00ED74CE">
      <w:pPr>
        <w:pStyle w:val="Biblio"/>
      </w:pPr>
      <w:proofErr w:type="spellStart"/>
      <w:proofErr w:type="gramStart"/>
      <w:r w:rsidRPr="009A7EA1">
        <w:t>femininities</w:t>
      </w:r>
      <w:proofErr w:type="spellEnd"/>
      <w:proofErr w:type="gramEnd"/>
      <w:r w:rsidRPr="009A7EA1">
        <w:rPr>
          <w:spacing w:val="17"/>
        </w:rPr>
        <w:t xml:space="preserve"> </w:t>
      </w:r>
      <w:r w:rsidRPr="009A7EA1">
        <w:t>».</w:t>
      </w:r>
      <w:r w:rsidRPr="009A7EA1">
        <w:rPr>
          <w:spacing w:val="19"/>
        </w:rPr>
        <w:t xml:space="preserve"> </w:t>
      </w:r>
      <w:proofErr w:type="spellStart"/>
      <w:r w:rsidRPr="009A7EA1">
        <w:rPr>
          <w:i/>
        </w:rPr>
        <w:t>Political</w:t>
      </w:r>
      <w:proofErr w:type="spellEnd"/>
      <w:r w:rsidRPr="009A7EA1">
        <w:rPr>
          <w:i/>
          <w:spacing w:val="12"/>
        </w:rPr>
        <w:t xml:space="preserve"> </w:t>
      </w:r>
      <w:proofErr w:type="spellStart"/>
      <w:r w:rsidRPr="009A7EA1">
        <w:rPr>
          <w:i/>
        </w:rPr>
        <w:t>Geography</w:t>
      </w:r>
      <w:proofErr w:type="spellEnd"/>
      <w:r w:rsidRPr="009A7EA1">
        <w:t>,</w:t>
      </w:r>
      <w:r>
        <w:t xml:space="preserve"> vol.94</w:t>
      </w:r>
      <w:r w:rsidRPr="009A7EA1">
        <w:rPr>
          <w:spacing w:val="-2"/>
        </w:rPr>
        <w:t>.</w:t>
      </w:r>
    </w:p>
    <w:p w14:paraId="1119A0D8" w14:textId="77777777" w:rsidR="00ED74CE" w:rsidRDefault="00ED74CE" w:rsidP="00ED74CE">
      <w:pPr>
        <w:pStyle w:val="Biblio"/>
      </w:pPr>
      <w:r w:rsidRPr="00181F61">
        <w:rPr>
          <w:lang w:val="en-GB"/>
        </w:rPr>
        <w:t>Schmoll,</w:t>
      </w:r>
      <w:r w:rsidRPr="00181F61">
        <w:rPr>
          <w:spacing w:val="21"/>
          <w:lang w:val="en-GB"/>
        </w:rPr>
        <w:t xml:space="preserve"> </w:t>
      </w:r>
      <w:r w:rsidRPr="00181F61">
        <w:rPr>
          <w:lang w:val="en-GB"/>
        </w:rPr>
        <w:t>Camille</w:t>
      </w:r>
      <w:r w:rsidRPr="00181F61">
        <w:rPr>
          <w:spacing w:val="26"/>
          <w:lang w:val="en-GB"/>
        </w:rPr>
        <w:t xml:space="preserve"> </w:t>
      </w:r>
      <w:r w:rsidRPr="00181F61">
        <w:rPr>
          <w:lang w:val="en-GB"/>
        </w:rPr>
        <w:t>(2020).</w:t>
      </w:r>
      <w:r w:rsidRPr="00181F61">
        <w:rPr>
          <w:spacing w:val="20"/>
          <w:lang w:val="en-GB"/>
        </w:rPr>
        <w:t xml:space="preserve"> </w:t>
      </w:r>
      <w:r>
        <w:t>Les</w:t>
      </w:r>
      <w:r>
        <w:rPr>
          <w:spacing w:val="22"/>
        </w:rPr>
        <w:t xml:space="preserve"> </w:t>
      </w:r>
      <w:r>
        <w:t>damnées</w:t>
      </w:r>
      <w:r>
        <w:rPr>
          <w:spacing w:val="19"/>
        </w:rPr>
        <w:t xml:space="preserve"> </w:t>
      </w:r>
      <w:r>
        <w:t>de</w:t>
      </w:r>
      <w:r>
        <w:rPr>
          <w:spacing w:val="22"/>
        </w:rPr>
        <w:t xml:space="preserve"> </w:t>
      </w:r>
      <w:r>
        <w:t>la</w:t>
      </w:r>
      <w:r>
        <w:rPr>
          <w:spacing w:val="22"/>
        </w:rPr>
        <w:t xml:space="preserve"> </w:t>
      </w:r>
      <w:r>
        <w:t>mer :</w:t>
      </w:r>
      <w:r>
        <w:rPr>
          <w:spacing w:val="16"/>
        </w:rPr>
        <w:t xml:space="preserve"> </w:t>
      </w:r>
      <w:r>
        <w:t>Femmes</w:t>
      </w:r>
      <w:r>
        <w:rPr>
          <w:spacing w:val="21"/>
        </w:rPr>
        <w:t xml:space="preserve"> </w:t>
      </w:r>
      <w:r>
        <w:t>et</w:t>
      </w:r>
      <w:r>
        <w:rPr>
          <w:spacing w:val="24"/>
        </w:rPr>
        <w:t xml:space="preserve"> </w:t>
      </w:r>
      <w:r>
        <w:t>frontières</w:t>
      </w:r>
      <w:r>
        <w:rPr>
          <w:spacing w:val="17"/>
        </w:rPr>
        <w:t xml:space="preserve"> </w:t>
      </w:r>
      <w:r>
        <w:t>en</w:t>
      </w:r>
      <w:r>
        <w:rPr>
          <w:spacing w:val="17"/>
        </w:rPr>
        <w:t xml:space="preserve"> </w:t>
      </w:r>
      <w:r>
        <w:rPr>
          <w:spacing w:val="-2"/>
        </w:rPr>
        <w:t>Méditerranée.</w:t>
      </w:r>
    </w:p>
    <w:p w14:paraId="1F3C358B" w14:textId="77777777" w:rsidR="00ED74CE" w:rsidRDefault="00ED74CE" w:rsidP="00ED74CE">
      <w:pPr>
        <w:pStyle w:val="Biblio"/>
      </w:pPr>
      <w:r>
        <w:t>Paris</w:t>
      </w:r>
      <w:r>
        <w:rPr>
          <w:spacing w:val="6"/>
        </w:rPr>
        <w:t xml:space="preserve"> </w:t>
      </w:r>
      <w:r>
        <w:t>:</w:t>
      </w:r>
      <w:r>
        <w:rPr>
          <w:spacing w:val="5"/>
        </w:rPr>
        <w:t xml:space="preserve"> </w:t>
      </w:r>
      <w:r>
        <w:t>La</w:t>
      </w:r>
      <w:r>
        <w:rPr>
          <w:spacing w:val="5"/>
        </w:rPr>
        <w:t xml:space="preserve"> </w:t>
      </w:r>
      <w:r>
        <w:t>Découverte.</w:t>
      </w:r>
    </w:p>
    <w:p w14:paraId="63DEDC60" w14:textId="77777777" w:rsidR="00ED74CE" w:rsidRDefault="00ED74CE" w:rsidP="00ED74CE">
      <w:pPr>
        <w:pStyle w:val="Biblio"/>
      </w:pPr>
      <w:proofErr w:type="spellStart"/>
      <w:r>
        <w:t>Tillous</w:t>
      </w:r>
      <w:proofErr w:type="spellEnd"/>
      <w:r>
        <w:t>,</w:t>
      </w:r>
      <w:r>
        <w:rPr>
          <w:spacing w:val="21"/>
        </w:rPr>
        <w:t xml:space="preserve"> </w:t>
      </w:r>
      <w:r>
        <w:t>Marion, éd. (2022).</w:t>
      </w:r>
      <w:r>
        <w:rPr>
          <w:spacing w:val="21"/>
        </w:rPr>
        <w:t xml:space="preserve"> </w:t>
      </w:r>
      <w:r>
        <w:rPr>
          <w:i/>
        </w:rPr>
        <w:t>Espace,</w:t>
      </w:r>
      <w:r>
        <w:rPr>
          <w:i/>
          <w:spacing w:val="23"/>
        </w:rPr>
        <w:t xml:space="preserve"> </w:t>
      </w:r>
      <w:r>
        <w:rPr>
          <w:i/>
        </w:rPr>
        <w:t>genre et violences conjugales</w:t>
      </w:r>
      <w:r>
        <w:rPr>
          <w:i/>
          <w:spacing w:val="-4"/>
        </w:rPr>
        <w:t xml:space="preserve"> </w:t>
      </w:r>
      <w:r>
        <w:rPr>
          <w:i/>
        </w:rPr>
        <w:t>: ce que révèle la crise</w:t>
      </w:r>
      <w:r>
        <w:rPr>
          <w:i/>
          <w:spacing w:val="40"/>
        </w:rPr>
        <w:t xml:space="preserve"> </w:t>
      </w:r>
      <w:r>
        <w:rPr>
          <w:i/>
        </w:rPr>
        <w:t>de la Covid-19</w:t>
      </w:r>
      <w:r>
        <w:t>. Saint-Denis : Presses Universitaires de Vincennes.</w:t>
      </w:r>
    </w:p>
    <w:p w14:paraId="77B948A1" w14:textId="77777777" w:rsidR="00ED74CE" w:rsidRDefault="00ED74CE" w:rsidP="00ED74CE">
      <w:pPr>
        <w:pStyle w:val="Biblio"/>
      </w:pPr>
      <w:proofErr w:type="spellStart"/>
      <w:r>
        <w:t>Tyszler</w:t>
      </w:r>
      <w:proofErr w:type="spellEnd"/>
      <w:r>
        <w:t xml:space="preserve">, Elsa (2024). </w:t>
      </w:r>
      <w:r>
        <w:rPr>
          <w:i/>
        </w:rPr>
        <w:t>Se battre aux frontières de Ceuta et Melilla</w:t>
      </w:r>
      <w:r>
        <w:t>. Saint-Denis : Presses Universitaires de Vincennes.</w:t>
      </w:r>
    </w:p>
    <w:p w14:paraId="1A244F10" w14:textId="77777777" w:rsidR="00ED74CE" w:rsidRDefault="00ED74CE" w:rsidP="00ED74CE">
      <w:pPr>
        <w:pStyle w:val="Biblio"/>
      </w:pPr>
      <w:proofErr w:type="spellStart"/>
      <w:r>
        <w:t>Zéilinger</w:t>
      </w:r>
      <w:proofErr w:type="spellEnd"/>
      <w:r>
        <w:t>, Irène (2004). « Entre visibilité et invisibilité : les lesbiennes face à la violence dans l’espace public ».</w:t>
      </w:r>
      <w:r>
        <w:rPr>
          <w:spacing w:val="40"/>
        </w:rPr>
        <w:t xml:space="preserve"> </w:t>
      </w:r>
      <w:r>
        <w:t xml:space="preserve">Dans : S. </w:t>
      </w:r>
      <w:proofErr w:type="spellStart"/>
      <w:r>
        <w:t>Denèfle</w:t>
      </w:r>
      <w:proofErr w:type="spellEnd"/>
      <w:r>
        <w:t xml:space="preserve"> (</w:t>
      </w:r>
      <w:proofErr w:type="spellStart"/>
      <w:r>
        <w:t>dir</w:t>
      </w:r>
      <w:proofErr w:type="spellEnd"/>
      <w:r>
        <w:t xml:space="preserve">.), </w:t>
      </w:r>
      <w:r>
        <w:rPr>
          <w:i/>
        </w:rPr>
        <w:t>Femmes et villes</w:t>
      </w:r>
      <w:r>
        <w:t>,</w:t>
      </w:r>
      <w:r>
        <w:rPr>
          <w:spacing w:val="40"/>
        </w:rPr>
        <w:t xml:space="preserve"> </w:t>
      </w:r>
      <w:proofErr w:type="spellStart"/>
      <w:proofErr w:type="gramStart"/>
      <w:r>
        <w:t>S,Tours</w:t>
      </w:r>
      <w:proofErr w:type="spellEnd"/>
      <w:proofErr w:type="gramEnd"/>
      <w:r>
        <w:t xml:space="preserve"> : Presses universitaires François-Rabelais, pp.195‑205.</w:t>
      </w:r>
    </w:p>
    <w:p w14:paraId="280F2493" w14:textId="77777777" w:rsidR="00ED74CE" w:rsidRPr="00777945" w:rsidRDefault="00ED74CE" w:rsidP="00ED74CE">
      <w:pPr>
        <w:pStyle w:val="Biblio"/>
        <w:numPr>
          <w:ilvl w:val="0"/>
          <w:numId w:val="0"/>
        </w:numPr>
        <w:ind w:left="720"/>
      </w:pPr>
    </w:p>
    <w:sectPr w:rsidR="00ED74CE" w:rsidRPr="00777945" w:rsidSect="008A00E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2755" w14:textId="77777777" w:rsidR="00883037" w:rsidRDefault="00883037">
      <w:pPr>
        <w:spacing w:after="0"/>
      </w:pPr>
      <w:r>
        <w:separator/>
      </w:r>
    </w:p>
    <w:p w14:paraId="459AD7D2" w14:textId="77777777" w:rsidR="00883037" w:rsidRDefault="00883037"/>
    <w:p w14:paraId="60567B5D" w14:textId="77777777" w:rsidR="00883037" w:rsidRDefault="00883037" w:rsidP="006A4FAF"/>
  </w:endnote>
  <w:endnote w:type="continuationSeparator" w:id="0">
    <w:p w14:paraId="31233003" w14:textId="77777777" w:rsidR="00883037" w:rsidRDefault="00883037">
      <w:pPr>
        <w:spacing w:after="0"/>
      </w:pPr>
      <w:r>
        <w:continuationSeparator/>
      </w:r>
    </w:p>
    <w:p w14:paraId="2DF5ABD9" w14:textId="77777777" w:rsidR="00883037" w:rsidRDefault="00883037"/>
    <w:p w14:paraId="44CE659E" w14:textId="77777777" w:rsidR="00883037" w:rsidRDefault="00883037" w:rsidP="006A4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Work Sans">
    <w:panose1 w:val="00000000000000000000"/>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3D9E64" w14:paraId="371155F5" w14:textId="77777777" w:rsidTr="39AC2928">
      <w:trPr>
        <w:trHeight w:val="300"/>
      </w:trPr>
      <w:tc>
        <w:tcPr>
          <w:tcW w:w="3005" w:type="dxa"/>
        </w:tcPr>
        <w:p w14:paraId="0AD16CF1" w14:textId="62578B67" w:rsidR="603D9E64" w:rsidRDefault="603D9E64" w:rsidP="3EF55C5F">
          <w:pPr>
            <w:pStyle w:val="En-tte"/>
            <w:ind w:left="-115"/>
            <w:rPr>
              <w:sz w:val="20"/>
              <w:szCs w:val="20"/>
            </w:rPr>
          </w:pPr>
        </w:p>
      </w:tc>
      <w:tc>
        <w:tcPr>
          <w:tcW w:w="3005" w:type="dxa"/>
        </w:tcPr>
        <w:p w14:paraId="2FF91A3C" w14:textId="3BFEF3ED" w:rsidR="603D9E64" w:rsidRDefault="603D9E64" w:rsidP="3EF55C5F">
          <w:pPr>
            <w:pStyle w:val="En-tte"/>
            <w:jc w:val="center"/>
            <w:rPr>
              <w:sz w:val="20"/>
              <w:szCs w:val="20"/>
            </w:rPr>
          </w:pPr>
          <w:r w:rsidRPr="39AC2928">
            <w:rPr>
              <w:sz w:val="20"/>
              <w:szCs w:val="20"/>
            </w:rPr>
            <w:fldChar w:fldCharType="begin"/>
          </w:r>
          <w:r>
            <w:instrText>PAGE</w:instrText>
          </w:r>
          <w:r w:rsidRPr="39AC2928">
            <w:fldChar w:fldCharType="separate"/>
          </w:r>
          <w:r w:rsidR="006A4FAF">
            <w:rPr>
              <w:noProof/>
            </w:rPr>
            <w:t>1</w:t>
          </w:r>
          <w:r w:rsidRPr="39AC2928">
            <w:rPr>
              <w:sz w:val="20"/>
              <w:szCs w:val="20"/>
            </w:rPr>
            <w:fldChar w:fldCharType="end"/>
          </w:r>
        </w:p>
      </w:tc>
      <w:tc>
        <w:tcPr>
          <w:tcW w:w="3005" w:type="dxa"/>
        </w:tcPr>
        <w:p w14:paraId="08447E69" w14:textId="326C8F8A" w:rsidR="603D9E64" w:rsidRDefault="603D9E64" w:rsidP="603D9E64">
          <w:pPr>
            <w:pStyle w:val="En-tte"/>
            <w:ind w:right="-115"/>
            <w:jc w:val="right"/>
          </w:pPr>
        </w:p>
      </w:tc>
    </w:tr>
  </w:tbl>
  <w:p w14:paraId="697B84B6" w14:textId="77777777" w:rsidR="00827575" w:rsidRDefault="00827575" w:rsidP="006A4F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8FE7" w14:textId="77777777" w:rsidR="00883037" w:rsidRDefault="00883037">
      <w:pPr>
        <w:spacing w:after="0"/>
      </w:pPr>
      <w:r>
        <w:separator/>
      </w:r>
    </w:p>
    <w:p w14:paraId="1E6B91DF" w14:textId="77777777" w:rsidR="00883037" w:rsidRDefault="00883037"/>
    <w:p w14:paraId="1FC7E2B8" w14:textId="77777777" w:rsidR="00883037" w:rsidRDefault="00883037" w:rsidP="006A4FAF"/>
  </w:footnote>
  <w:footnote w:type="continuationSeparator" w:id="0">
    <w:p w14:paraId="1775D520" w14:textId="77777777" w:rsidR="00883037" w:rsidRDefault="00883037">
      <w:pPr>
        <w:spacing w:after="0"/>
      </w:pPr>
      <w:r>
        <w:continuationSeparator/>
      </w:r>
    </w:p>
    <w:p w14:paraId="1E7DFBE7" w14:textId="77777777" w:rsidR="00883037" w:rsidRDefault="00883037"/>
    <w:p w14:paraId="62358723" w14:textId="77777777" w:rsidR="00883037" w:rsidRDefault="00883037" w:rsidP="006A4FAF"/>
  </w:footnote>
  <w:footnote w:id="1">
    <w:p w14:paraId="2AFD6553" w14:textId="77777777" w:rsidR="00ED74CE" w:rsidRPr="0070382D" w:rsidRDefault="00ED74CE" w:rsidP="00ED74CE">
      <w:pPr>
        <w:spacing w:before="114" w:line="252" w:lineRule="auto"/>
        <w:ind w:left="55" w:right="69"/>
        <w:rPr>
          <w:rFonts w:ascii="Calibri" w:hAnsi="Calibri"/>
          <w:sz w:val="18"/>
        </w:rPr>
      </w:pPr>
      <w:r>
        <w:rPr>
          <w:rStyle w:val="Appelnotedebasdep"/>
        </w:rPr>
        <w:footnoteRef/>
      </w:r>
      <w:r>
        <w:t xml:space="preserve"> </w:t>
      </w:r>
      <w:proofErr w:type="spellStart"/>
      <w:r>
        <w:rPr>
          <w:rFonts w:ascii="Calibri" w:hAnsi="Calibri"/>
          <w:w w:val="105"/>
          <w:sz w:val="18"/>
        </w:rPr>
        <w:t>Même</w:t>
      </w:r>
      <w:proofErr w:type="spellEnd"/>
      <w:r>
        <w:rPr>
          <w:rFonts w:ascii="Calibri" w:hAnsi="Calibri"/>
          <w:spacing w:val="-10"/>
          <w:w w:val="105"/>
          <w:sz w:val="18"/>
        </w:rPr>
        <w:t xml:space="preserve"> </w:t>
      </w:r>
      <w:r>
        <w:rPr>
          <w:rFonts w:ascii="Calibri" w:hAnsi="Calibri"/>
          <w:w w:val="105"/>
          <w:sz w:val="18"/>
        </w:rPr>
        <w:t>si</w:t>
      </w:r>
      <w:r>
        <w:rPr>
          <w:rFonts w:ascii="Calibri" w:hAnsi="Calibri"/>
          <w:spacing w:val="-10"/>
          <w:w w:val="105"/>
          <w:sz w:val="18"/>
        </w:rPr>
        <w:t xml:space="preserve"> </w:t>
      </w:r>
      <w:r>
        <w:rPr>
          <w:rFonts w:ascii="Calibri" w:hAnsi="Calibri"/>
          <w:w w:val="105"/>
          <w:sz w:val="18"/>
        </w:rPr>
        <w:t>la</w:t>
      </w:r>
      <w:r>
        <w:rPr>
          <w:rFonts w:ascii="Calibri" w:hAnsi="Calibri"/>
          <w:spacing w:val="-11"/>
          <w:w w:val="105"/>
          <w:sz w:val="18"/>
        </w:rPr>
        <w:t xml:space="preserve"> </w:t>
      </w:r>
      <w:proofErr w:type="spellStart"/>
      <w:r>
        <w:rPr>
          <w:rFonts w:ascii="Calibri" w:hAnsi="Calibri"/>
          <w:w w:val="105"/>
          <w:sz w:val="18"/>
        </w:rPr>
        <w:t>distinction</w:t>
      </w:r>
      <w:proofErr w:type="spellEnd"/>
      <w:r>
        <w:rPr>
          <w:rFonts w:ascii="Calibri" w:hAnsi="Calibri"/>
          <w:spacing w:val="-7"/>
          <w:w w:val="105"/>
          <w:sz w:val="18"/>
        </w:rPr>
        <w:t xml:space="preserve"> </w:t>
      </w:r>
      <w:proofErr w:type="spellStart"/>
      <w:r>
        <w:rPr>
          <w:rFonts w:ascii="Calibri" w:hAnsi="Calibri"/>
          <w:w w:val="105"/>
          <w:sz w:val="18"/>
        </w:rPr>
        <w:t>avec</w:t>
      </w:r>
      <w:proofErr w:type="spellEnd"/>
      <w:r>
        <w:rPr>
          <w:rFonts w:ascii="Calibri" w:hAnsi="Calibri"/>
          <w:spacing w:val="-11"/>
          <w:w w:val="105"/>
          <w:sz w:val="18"/>
        </w:rPr>
        <w:t xml:space="preserve"> </w:t>
      </w:r>
      <w:proofErr w:type="spellStart"/>
      <w:r>
        <w:rPr>
          <w:rFonts w:ascii="Calibri" w:hAnsi="Calibri"/>
          <w:w w:val="105"/>
          <w:sz w:val="18"/>
        </w:rPr>
        <w:t>d’autres</w:t>
      </w:r>
      <w:proofErr w:type="spellEnd"/>
      <w:r>
        <w:rPr>
          <w:rFonts w:ascii="Calibri" w:hAnsi="Calibri"/>
          <w:spacing w:val="-8"/>
          <w:w w:val="105"/>
          <w:sz w:val="18"/>
        </w:rPr>
        <w:t xml:space="preserve"> </w:t>
      </w:r>
      <w:proofErr w:type="spellStart"/>
      <w:r>
        <w:rPr>
          <w:rFonts w:ascii="Calibri" w:hAnsi="Calibri"/>
          <w:w w:val="105"/>
          <w:sz w:val="18"/>
        </w:rPr>
        <w:t>motifs</w:t>
      </w:r>
      <w:proofErr w:type="spellEnd"/>
      <w:r>
        <w:rPr>
          <w:rFonts w:ascii="Calibri" w:hAnsi="Calibri"/>
          <w:spacing w:val="-8"/>
          <w:w w:val="105"/>
          <w:sz w:val="18"/>
        </w:rPr>
        <w:t xml:space="preserve"> </w:t>
      </w:r>
      <w:proofErr w:type="spellStart"/>
      <w:r>
        <w:rPr>
          <w:rFonts w:ascii="Calibri" w:hAnsi="Calibri"/>
          <w:w w:val="105"/>
          <w:sz w:val="18"/>
        </w:rPr>
        <w:t>comme</w:t>
      </w:r>
      <w:proofErr w:type="spellEnd"/>
      <w:r>
        <w:rPr>
          <w:rFonts w:ascii="Calibri" w:hAnsi="Calibri"/>
          <w:spacing w:val="-11"/>
          <w:w w:val="105"/>
          <w:sz w:val="18"/>
        </w:rPr>
        <w:t xml:space="preserve"> </w:t>
      </w:r>
      <w:r>
        <w:rPr>
          <w:rFonts w:ascii="Calibri" w:hAnsi="Calibri"/>
          <w:w w:val="105"/>
          <w:sz w:val="18"/>
        </w:rPr>
        <w:t>les</w:t>
      </w:r>
      <w:r>
        <w:rPr>
          <w:rFonts w:ascii="Calibri" w:hAnsi="Calibri"/>
          <w:spacing w:val="-8"/>
          <w:w w:val="105"/>
          <w:sz w:val="18"/>
        </w:rPr>
        <w:t xml:space="preserve"> </w:t>
      </w:r>
      <w:proofErr w:type="spellStart"/>
      <w:r>
        <w:rPr>
          <w:rFonts w:ascii="Calibri" w:hAnsi="Calibri"/>
          <w:w w:val="105"/>
          <w:sz w:val="18"/>
        </w:rPr>
        <w:t>motifs</w:t>
      </w:r>
      <w:proofErr w:type="spellEnd"/>
      <w:r>
        <w:rPr>
          <w:rFonts w:ascii="Calibri" w:hAnsi="Calibri"/>
          <w:spacing w:val="-8"/>
          <w:w w:val="105"/>
          <w:sz w:val="18"/>
        </w:rPr>
        <w:t xml:space="preserve"> </w:t>
      </w:r>
      <w:r>
        <w:rPr>
          <w:rFonts w:ascii="Calibri" w:hAnsi="Calibri"/>
          <w:w w:val="105"/>
          <w:sz w:val="18"/>
        </w:rPr>
        <w:t>«</w:t>
      </w:r>
      <w:r>
        <w:rPr>
          <w:rFonts w:ascii="Calibri" w:hAnsi="Calibri"/>
          <w:spacing w:val="-9"/>
          <w:w w:val="105"/>
          <w:sz w:val="18"/>
        </w:rPr>
        <w:t xml:space="preserve"> </w:t>
      </w:r>
      <w:proofErr w:type="spellStart"/>
      <w:r>
        <w:rPr>
          <w:rFonts w:ascii="Calibri" w:hAnsi="Calibri"/>
          <w:w w:val="105"/>
          <w:sz w:val="18"/>
        </w:rPr>
        <w:t>économiques</w:t>
      </w:r>
      <w:proofErr w:type="spellEnd"/>
      <w:r>
        <w:rPr>
          <w:rFonts w:ascii="Calibri" w:hAnsi="Calibri"/>
          <w:spacing w:val="-6"/>
          <w:w w:val="105"/>
          <w:sz w:val="18"/>
        </w:rPr>
        <w:t xml:space="preserve"> </w:t>
      </w:r>
      <w:r>
        <w:rPr>
          <w:rFonts w:ascii="Calibri" w:hAnsi="Calibri"/>
          <w:w w:val="105"/>
          <w:sz w:val="18"/>
        </w:rPr>
        <w:t>»</w:t>
      </w:r>
      <w:r>
        <w:rPr>
          <w:rFonts w:ascii="Calibri" w:hAnsi="Calibri"/>
          <w:spacing w:val="-10"/>
          <w:w w:val="105"/>
          <w:sz w:val="18"/>
        </w:rPr>
        <w:t xml:space="preserve"> </w:t>
      </w:r>
      <w:r>
        <w:rPr>
          <w:rFonts w:ascii="Calibri" w:hAnsi="Calibri"/>
          <w:w w:val="105"/>
          <w:sz w:val="18"/>
        </w:rPr>
        <w:t>est</w:t>
      </w:r>
      <w:r>
        <w:rPr>
          <w:rFonts w:ascii="Calibri" w:hAnsi="Calibri"/>
          <w:spacing w:val="-10"/>
          <w:w w:val="105"/>
          <w:sz w:val="18"/>
        </w:rPr>
        <w:t xml:space="preserve"> </w:t>
      </w:r>
      <w:proofErr w:type="spellStart"/>
      <w:r>
        <w:rPr>
          <w:rFonts w:ascii="Calibri" w:hAnsi="Calibri"/>
          <w:w w:val="105"/>
          <w:sz w:val="18"/>
        </w:rPr>
        <w:t>toujours</w:t>
      </w:r>
      <w:proofErr w:type="spellEnd"/>
      <w:r>
        <w:rPr>
          <w:rFonts w:ascii="Calibri" w:hAnsi="Calibri"/>
          <w:spacing w:val="-10"/>
          <w:w w:val="105"/>
          <w:sz w:val="18"/>
        </w:rPr>
        <w:t xml:space="preserve"> </w:t>
      </w:r>
      <w:proofErr w:type="spellStart"/>
      <w:r>
        <w:rPr>
          <w:rFonts w:ascii="Calibri" w:hAnsi="Calibri"/>
          <w:w w:val="105"/>
          <w:sz w:val="18"/>
        </w:rPr>
        <w:t>discutable</w:t>
      </w:r>
      <w:proofErr w:type="spellEnd"/>
      <w:r>
        <w:rPr>
          <w:rFonts w:ascii="Calibri" w:hAnsi="Calibri"/>
          <w:w w:val="105"/>
          <w:sz w:val="18"/>
        </w:rPr>
        <w:t>,</w:t>
      </w:r>
      <w:r>
        <w:rPr>
          <w:rFonts w:ascii="Calibri" w:hAnsi="Calibri"/>
          <w:spacing w:val="-11"/>
          <w:w w:val="105"/>
          <w:sz w:val="18"/>
        </w:rPr>
        <w:t xml:space="preserve"> </w:t>
      </w:r>
      <w:r>
        <w:rPr>
          <w:rFonts w:ascii="Calibri" w:hAnsi="Calibri"/>
          <w:w w:val="105"/>
          <w:sz w:val="18"/>
        </w:rPr>
        <w:t>car</w:t>
      </w:r>
      <w:r>
        <w:rPr>
          <w:rFonts w:ascii="Calibri" w:hAnsi="Calibri"/>
          <w:spacing w:val="-11"/>
          <w:w w:val="105"/>
          <w:sz w:val="18"/>
        </w:rPr>
        <w:t xml:space="preserve"> </w:t>
      </w:r>
      <w:proofErr w:type="spellStart"/>
      <w:r>
        <w:rPr>
          <w:rFonts w:ascii="Calibri" w:hAnsi="Calibri"/>
          <w:w w:val="105"/>
          <w:sz w:val="18"/>
        </w:rPr>
        <w:t>qu’y</w:t>
      </w:r>
      <w:proofErr w:type="spellEnd"/>
      <w:r>
        <w:rPr>
          <w:rFonts w:ascii="Calibri" w:hAnsi="Calibri"/>
          <w:w w:val="105"/>
          <w:sz w:val="18"/>
        </w:rPr>
        <w:t xml:space="preserve"> a-t-</w:t>
      </w:r>
      <w:proofErr w:type="spellStart"/>
      <w:r>
        <w:rPr>
          <w:rFonts w:ascii="Calibri" w:hAnsi="Calibri"/>
          <w:w w:val="105"/>
          <w:sz w:val="18"/>
        </w:rPr>
        <w:t>il</w:t>
      </w:r>
      <w:proofErr w:type="spellEnd"/>
      <w:r>
        <w:rPr>
          <w:rFonts w:ascii="Calibri" w:hAnsi="Calibri"/>
          <w:w w:val="105"/>
          <w:sz w:val="18"/>
        </w:rPr>
        <w:t xml:space="preserve"> de plus </w:t>
      </w:r>
      <w:proofErr w:type="spellStart"/>
      <w:r>
        <w:rPr>
          <w:rFonts w:ascii="Calibri" w:hAnsi="Calibri"/>
          <w:w w:val="105"/>
          <w:sz w:val="18"/>
        </w:rPr>
        <w:t>politique</w:t>
      </w:r>
      <w:proofErr w:type="spellEnd"/>
      <w:r>
        <w:rPr>
          <w:rFonts w:ascii="Calibri" w:hAnsi="Calibri"/>
          <w:w w:val="105"/>
          <w:sz w:val="18"/>
        </w:rPr>
        <w:t xml:space="preserve"> que l’(e) (des)</w:t>
      </w:r>
      <w:proofErr w:type="spellStart"/>
      <w:r>
        <w:rPr>
          <w:rFonts w:ascii="Calibri" w:hAnsi="Calibri"/>
          <w:w w:val="105"/>
          <w:sz w:val="18"/>
        </w:rPr>
        <w:t>équilibre</w:t>
      </w:r>
      <w:proofErr w:type="spellEnd"/>
      <w:r>
        <w:rPr>
          <w:rFonts w:ascii="Calibri" w:hAnsi="Calibri"/>
          <w:w w:val="105"/>
          <w:sz w:val="18"/>
        </w:rPr>
        <w:t xml:space="preserve"> des </w:t>
      </w:r>
      <w:proofErr w:type="spellStart"/>
      <w:r>
        <w:rPr>
          <w:rFonts w:ascii="Calibri" w:hAnsi="Calibri"/>
          <w:w w:val="105"/>
          <w:sz w:val="18"/>
        </w:rPr>
        <w:t>rapports</w:t>
      </w:r>
      <w:proofErr w:type="spellEnd"/>
      <w:r>
        <w:rPr>
          <w:rFonts w:ascii="Calibri" w:hAnsi="Calibri"/>
          <w:w w:val="105"/>
          <w:sz w:val="18"/>
        </w:rPr>
        <w:t xml:space="preserve"> de forces </w:t>
      </w:r>
      <w:proofErr w:type="spellStart"/>
      <w:r>
        <w:rPr>
          <w:rFonts w:ascii="Calibri" w:hAnsi="Calibri"/>
          <w:w w:val="105"/>
          <w:sz w:val="18"/>
        </w:rPr>
        <w:t>économiques</w:t>
      </w:r>
      <w:proofErr w:type="spellEnd"/>
      <w:r>
        <w:rPr>
          <w:rFonts w:ascii="Calibri" w:hAnsi="Calibri"/>
          <w:w w:val="105"/>
          <w:sz w:val="18"/>
        </w:rPr>
        <w:t xml:space="preserve"> à </w:t>
      </w:r>
      <w:proofErr w:type="spellStart"/>
      <w:r>
        <w:rPr>
          <w:rFonts w:ascii="Calibri" w:hAnsi="Calibri"/>
          <w:w w:val="105"/>
          <w:sz w:val="18"/>
        </w:rPr>
        <w:t>l’échelle</w:t>
      </w:r>
      <w:proofErr w:type="spellEnd"/>
      <w:r>
        <w:rPr>
          <w:rFonts w:ascii="Calibri" w:hAnsi="Calibri"/>
          <w:w w:val="105"/>
          <w:sz w:val="18"/>
        </w:rPr>
        <w:t xml:space="preserve"> </w:t>
      </w:r>
      <w:proofErr w:type="spellStart"/>
      <w:r>
        <w:rPr>
          <w:rFonts w:ascii="Calibri" w:hAnsi="Calibri"/>
          <w:w w:val="105"/>
          <w:sz w:val="18"/>
        </w:rPr>
        <w:t>mondiale</w:t>
      </w:r>
      <w:proofErr w:type="spellEnd"/>
      <w:r>
        <w:rPr>
          <w:rFonts w:ascii="Calibri" w:hAnsi="Calibri"/>
          <w:w w:val="105"/>
          <w:sz w:val="18"/>
        </w:rPr>
        <w:t xml:space="preserve"> ?</w:t>
      </w:r>
    </w:p>
  </w:footnote>
  <w:footnote w:id="2">
    <w:p w14:paraId="252E50AA" w14:textId="77777777" w:rsidR="00ED74CE" w:rsidRPr="00C5396E" w:rsidRDefault="00ED74CE" w:rsidP="00ED74CE">
      <w:pPr>
        <w:spacing w:before="114" w:line="252" w:lineRule="auto"/>
        <w:ind w:left="55" w:right="118"/>
        <w:rPr>
          <w:rFonts w:ascii="Calibri" w:hAnsi="Calibri"/>
          <w:sz w:val="18"/>
        </w:rPr>
      </w:pPr>
      <w:r>
        <w:rPr>
          <w:rStyle w:val="Appelnotedebasdep"/>
        </w:rPr>
        <w:footnoteRef/>
      </w:r>
      <w:r>
        <w:t xml:space="preserve"> </w:t>
      </w:r>
      <w:r>
        <w:rPr>
          <w:rFonts w:ascii="Calibri" w:hAnsi="Calibri"/>
          <w:w w:val="105"/>
          <w:sz w:val="18"/>
        </w:rPr>
        <w:t>Le</w:t>
      </w:r>
      <w:r>
        <w:rPr>
          <w:rFonts w:ascii="Calibri" w:hAnsi="Calibri"/>
          <w:spacing w:val="-7"/>
          <w:w w:val="105"/>
          <w:sz w:val="18"/>
        </w:rPr>
        <w:t xml:space="preserve"> </w:t>
      </w:r>
      <w:r>
        <w:rPr>
          <w:rFonts w:ascii="Calibri" w:hAnsi="Calibri"/>
          <w:w w:val="105"/>
          <w:sz w:val="18"/>
        </w:rPr>
        <w:t>nombre</w:t>
      </w:r>
      <w:r>
        <w:rPr>
          <w:rFonts w:ascii="Calibri" w:hAnsi="Calibri"/>
          <w:spacing w:val="-6"/>
          <w:w w:val="105"/>
          <w:sz w:val="18"/>
        </w:rPr>
        <w:t xml:space="preserve"> </w:t>
      </w:r>
      <w:r>
        <w:rPr>
          <w:rFonts w:ascii="Calibri" w:hAnsi="Calibri"/>
          <w:w w:val="105"/>
          <w:sz w:val="18"/>
        </w:rPr>
        <w:t>de</w:t>
      </w:r>
      <w:r>
        <w:rPr>
          <w:rFonts w:ascii="Calibri" w:hAnsi="Calibri"/>
          <w:spacing w:val="-4"/>
          <w:w w:val="105"/>
          <w:sz w:val="18"/>
        </w:rPr>
        <w:t xml:space="preserve"> </w:t>
      </w:r>
      <w:r>
        <w:rPr>
          <w:rFonts w:ascii="Calibri" w:hAnsi="Calibri"/>
          <w:w w:val="105"/>
          <w:sz w:val="18"/>
        </w:rPr>
        <w:t>morts</w:t>
      </w:r>
      <w:r>
        <w:rPr>
          <w:rFonts w:ascii="Calibri" w:hAnsi="Calibri"/>
          <w:spacing w:val="-5"/>
          <w:w w:val="105"/>
          <w:sz w:val="18"/>
        </w:rPr>
        <w:t xml:space="preserve"> </w:t>
      </w:r>
      <w:r>
        <w:rPr>
          <w:rFonts w:ascii="Calibri" w:hAnsi="Calibri"/>
          <w:w w:val="105"/>
          <w:sz w:val="18"/>
        </w:rPr>
        <w:t>est</w:t>
      </w:r>
      <w:r>
        <w:rPr>
          <w:rFonts w:ascii="Calibri" w:hAnsi="Calibri"/>
          <w:spacing w:val="-7"/>
          <w:w w:val="105"/>
          <w:sz w:val="18"/>
        </w:rPr>
        <w:t xml:space="preserve"> </w:t>
      </w:r>
      <w:proofErr w:type="spellStart"/>
      <w:r>
        <w:rPr>
          <w:rFonts w:ascii="Calibri" w:hAnsi="Calibri"/>
          <w:w w:val="105"/>
          <w:sz w:val="18"/>
        </w:rPr>
        <w:t>estimé</w:t>
      </w:r>
      <w:proofErr w:type="spellEnd"/>
      <w:r>
        <w:rPr>
          <w:rFonts w:ascii="Calibri" w:hAnsi="Calibri"/>
          <w:spacing w:val="-5"/>
          <w:w w:val="105"/>
          <w:sz w:val="18"/>
        </w:rPr>
        <w:t xml:space="preserve"> </w:t>
      </w:r>
      <w:r>
        <w:rPr>
          <w:rFonts w:ascii="Calibri" w:hAnsi="Calibri"/>
          <w:w w:val="105"/>
          <w:sz w:val="18"/>
        </w:rPr>
        <w:t>à</w:t>
      </w:r>
      <w:r>
        <w:rPr>
          <w:rFonts w:ascii="Calibri" w:hAnsi="Calibri"/>
          <w:spacing w:val="-6"/>
          <w:w w:val="105"/>
          <w:sz w:val="18"/>
        </w:rPr>
        <w:t xml:space="preserve"> </w:t>
      </w:r>
      <w:r>
        <w:rPr>
          <w:rFonts w:ascii="Calibri" w:hAnsi="Calibri"/>
          <w:w w:val="105"/>
          <w:sz w:val="18"/>
        </w:rPr>
        <w:t>1,19</w:t>
      </w:r>
      <w:r>
        <w:rPr>
          <w:rFonts w:ascii="Calibri" w:hAnsi="Calibri"/>
          <w:spacing w:val="-2"/>
          <w:w w:val="105"/>
          <w:sz w:val="18"/>
        </w:rPr>
        <w:t xml:space="preserve"> </w:t>
      </w:r>
      <w:proofErr w:type="spellStart"/>
      <w:r>
        <w:rPr>
          <w:rFonts w:ascii="Calibri" w:hAnsi="Calibri"/>
          <w:w w:val="105"/>
          <w:sz w:val="18"/>
        </w:rPr>
        <w:t>millions</w:t>
      </w:r>
      <w:proofErr w:type="spellEnd"/>
      <w:r>
        <w:rPr>
          <w:rFonts w:ascii="Calibri" w:hAnsi="Calibri"/>
          <w:spacing w:val="-4"/>
          <w:w w:val="105"/>
          <w:sz w:val="18"/>
        </w:rPr>
        <w:t xml:space="preserve"> </w:t>
      </w:r>
      <w:proofErr w:type="spellStart"/>
      <w:r>
        <w:rPr>
          <w:rFonts w:ascii="Calibri" w:hAnsi="Calibri"/>
          <w:w w:val="105"/>
          <w:sz w:val="18"/>
        </w:rPr>
        <w:t>pour</w:t>
      </w:r>
      <w:proofErr w:type="spellEnd"/>
      <w:r>
        <w:rPr>
          <w:rFonts w:ascii="Calibri" w:hAnsi="Calibri"/>
          <w:spacing w:val="-6"/>
          <w:w w:val="105"/>
          <w:sz w:val="18"/>
        </w:rPr>
        <w:t xml:space="preserve"> </w:t>
      </w:r>
      <w:proofErr w:type="spellStart"/>
      <w:r>
        <w:rPr>
          <w:rFonts w:ascii="Calibri" w:hAnsi="Calibri"/>
          <w:w w:val="105"/>
          <w:sz w:val="18"/>
        </w:rPr>
        <w:t>l’année</w:t>
      </w:r>
      <w:proofErr w:type="spellEnd"/>
      <w:r>
        <w:rPr>
          <w:rFonts w:ascii="Calibri" w:hAnsi="Calibri"/>
          <w:spacing w:val="-9"/>
          <w:w w:val="105"/>
          <w:sz w:val="18"/>
        </w:rPr>
        <w:t xml:space="preserve"> </w:t>
      </w:r>
      <w:r>
        <w:rPr>
          <w:rFonts w:ascii="Calibri" w:hAnsi="Calibri"/>
          <w:w w:val="105"/>
          <w:sz w:val="18"/>
        </w:rPr>
        <w:t>2023</w:t>
      </w:r>
      <w:r>
        <w:rPr>
          <w:rFonts w:ascii="Calibri" w:hAnsi="Calibri"/>
          <w:spacing w:val="-3"/>
          <w:w w:val="105"/>
          <w:sz w:val="18"/>
        </w:rPr>
        <w:t xml:space="preserve"> </w:t>
      </w:r>
      <w:r>
        <w:rPr>
          <w:rFonts w:ascii="Calibri" w:hAnsi="Calibri"/>
          <w:w w:val="105"/>
          <w:sz w:val="18"/>
        </w:rPr>
        <w:t>par</w:t>
      </w:r>
      <w:r>
        <w:rPr>
          <w:rFonts w:ascii="Calibri" w:hAnsi="Calibri"/>
          <w:spacing w:val="-6"/>
          <w:w w:val="105"/>
          <w:sz w:val="18"/>
        </w:rPr>
        <w:t xml:space="preserve"> </w:t>
      </w:r>
      <w:proofErr w:type="spellStart"/>
      <w:r>
        <w:rPr>
          <w:rFonts w:ascii="Calibri" w:hAnsi="Calibri"/>
          <w:w w:val="105"/>
          <w:sz w:val="18"/>
        </w:rPr>
        <w:t>l’Organisation</w:t>
      </w:r>
      <w:proofErr w:type="spellEnd"/>
      <w:r>
        <w:rPr>
          <w:rFonts w:ascii="Calibri" w:hAnsi="Calibri"/>
          <w:spacing w:val="-6"/>
          <w:w w:val="105"/>
          <w:sz w:val="18"/>
        </w:rPr>
        <w:t xml:space="preserve"> </w:t>
      </w:r>
      <w:proofErr w:type="spellStart"/>
      <w:r>
        <w:rPr>
          <w:rFonts w:ascii="Calibri" w:hAnsi="Calibri"/>
          <w:w w:val="105"/>
          <w:sz w:val="18"/>
        </w:rPr>
        <w:t>Mondiale</w:t>
      </w:r>
      <w:proofErr w:type="spellEnd"/>
      <w:r>
        <w:rPr>
          <w:rFonts w:ascii="Calibri" w:hAnsi="Calibri"/>
          <w:spacing w:val="-6"/>
          <w:w w:val="105"/>
          <w:sz w:val="18"/>
        </w:rPr>
        <w:t xml:space="preserve"> </w:t>
      </w:r>
      <w:r>
        <w:rPr>
          <w:rFonts w:ascii="Calibri" w:hAnsi="Calibri"/>
          <w:w w:val="105"/>
          <w:sz w:val="18"/>
        </w:rPr>
        <w:t>de</w:t>
      </w:r>
      <w:r>
        <w:rPr>
          <w:rFonts w:ascii="Calibri" w:hAnsi="Calibri"/>
          <w:spacing w:val="-4"/>
          <w:w w:val="105"/>
          <w:sz w:val="18"/>
        </w:rPr>
        <w:t xml:space="preserve"> </w:t>
      </w:r>
      <w:r>
        <w:rPr>
          <w:rFonts w:ascii="Calibri" w:hAnsi="Calibri"/>
          <w:w w:val="105"/>
          <w:sz w:val="18"/>
        </w:rPr>
        <w:t>la</w:t>
      </w:r>
      <w:r>
        <w:rPr>
          <w:rFonts w:ascii="Calibri" w:hAnsi="Calibri"/>
          <w:spacing w:val="-6"/>
          <w:w w:val="105"/>
          <w:sz w:val="18"/>
        </w:rPr>
        <w:t xml:space="preserve"> </w:t>
      </w:r>
      <w:proofErr w:type="spellStart"/>
      <w:r>
        <w:rPr>
          <w:rFonts w:ascii="Calibri" w:hAnsi="Calibri"/>
          <w:w w:val="105"/>
          <w:sz w:val="18"/>
        </w:rPr>
        <w:t>Santé</w:t>
      </w:r>
      <w:proofErr w:type="spellEnd"/>
      <w:r>
        <w:rPr>
          <w:rFonts w:ascii="Calibri" w:hAnsi="Calibri"/>
          <w:w w:val="105"/>
          <w:sz w:val="18"/>
        </w:rPr>
        <w:t xml:space="preserve">, </w:t>
      </w:r>
      <w:proofErr w:type="spellStart"/>
      <w:r>
        <w:rPr>
          <w:rFonts w:ascii="Calibri" w:hAnsi="Calibri"/>
          <w:w w:val="105"/>
          <w:sz w:val="18"/>
        </w:rPr>
        <w:t>dans</w:t>
      </w:r>
      <w:proofErr w:type="spellEnd"/>
      <w:r>
        <w:rPr>
          <w:rFonts w:ascii="Calibri" w:hAnsi="Calibri"/>
          <w:w w:val="105"/>
          <w:sz w:val="18"/>
        </w:rPr>
        <w:t xml:space="preserve"> son </w:t>
      </w:r>
      <w:r>
        <w:rPr>
          <w:rFonts w:ascii="Calibri" w:hAnsi="Calibri"/>
          <w:i/>
          <w:w w:val="105"/>
          <w:sz w:val="18"/>
        </w:rPr>
        <w:t xml:space="preserve">Global status report on </w:t>
      </w:r>
      <w:proofErr w:type="spellStart"/>
      <w:r>
        <w:rPr>
          <w:rFonts w:ascii="Calibri" w:hAnsi="Calibri"/>
          <w:i/>
          <w:w w:val="105"/>
          <w:sz w:val="18"/>
        </w:rPr>
        <w:t>road</w:t>
      </w:r>
      <w:proofErr w:type="spellEnd"/>
      <w:r>
        <w:rPr>
          <w:rFonts w:ascii="Calibri" w:hAnsi="Calibri"/>
          <w:i/>
          <w:w w:val="105"/>
          <w:sz w:val="18"/>
        </w:rPr>
        <w:t xml:space="preserve"> safety 2023. </w:t>
      </w:r>
      <w:proofErr w:type="spellStart"/>
      <w:r>
        <w:rPr>
          <w:rFonts w:ascii="Calibri" w:hAnsi="Calibri"/>
          <w:w w:val="105"/>
          <w:sz w:val="18"/>
        </w:rPr>
        <w:t>Soit</w:t>
      </w:r>
      <w:proofErr w:type="spellEnd"/>
      <w:r>
        <w:rPr>
          <w:rFonts w:ascii="Calibri" w:hAnsi="Calibri"/>
          <w:w w:val="105"/>
          <w:sz w:val="18"/>
        </w:rPr>
        <w:t xml:space="preserve"> 3260 </w:t>
      </w:r>
      <w:proofErr w:type="spellStart"/>
      <w:r>
        <w:rPr>
          <w:rFonts w:ascii="Calibri" w:hAnsi="Calibri"/>
          <w:w w:val="105"/>
          <w:sz w:val="18"/>
        </w:rPr>
        <w:t>personnes</w:t>
      </w:r>
      <w:proofErr w:type="spellEnd"/>
      <w:r>
        <w:rPr>
          <w:rFonts w:ascii="Calibri" w:hAnsi="Calibri"/>
          <w:w w:val="105"/>
          <w:sz w:val="18"/>
        </w:rPr>
        <w:t xml:space="preserve"> mortes par </w:t>
      </w:r>
      <w:proofErr w:type="spellStart"/>
      <w:r>
        <w:rPr>
          <w:rFonts w:ascii="Calibri" w:hAnsi="Calibri"/>
          <w:w w:val="105"/>
          <w:sz w:val="18"/>
        </w:rPr>
        <w:t>jour</w:t>
      </w:r>
      <w:proofErr w:type="spellEnd"/>
      <w:r>
        <w:rPr>
          <w:rFonts w:ascii="Calibri" w:hAnsi="Calibri"/>
          <w:w w:val="105"/>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D4E71"/>
    <w:multiLevelType w:val="multilevel"/>
    <w:tmpl w:val="21181C14"/>
    <w:lvl w:ilvl="0">
      <w:start w:val="1"/>
      <w:numFmt w:val="bullet"/>
      <w:pStyle w:val="Biblio"/>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5425C"/>
    <w:multiLevelType w:val="multilevel"/>
    <w:tmpl w:val="308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845ECA"/>
    <w:multiLevelType w:val="multilevel"/>
    <w:tmpl w:val="74C8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546822">
    <w:abstractNumId w:val="0"/>
  </w:num>
  <w:num w:numId="2" w16cid:durableId="1053768672">
    <w:abstractNumId w:val="1"/>
  </w:num>
  <w:num w:numId="3" w16cid:durableId="118609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27"/>
    <w:rsid w:val="00080EAF"/>
    <w:rsid w:val="00116142"/>
    <w:rsid w:val="001B2293"/>
    <w:rsid w:val="001F6451"/>
    <w:rsid w:val="00322727"/>
    <w:rsid w:val="00331D62"/>
    <w:rsid w:val="003758AB"/>
    <w:rsid w:val="00457632"/>
    <w:rsid w:val="00567C2C"/>
    <w:rsid w:val="005A0D16"/>
    <w:rsid w:val="006A4FAF"/>
    <w:rsid w:val="006D0A21"/>
    <w:rsid w:val="00777945"/>
    <w:rsid w:val="0079272E"/>
    <w:rsid w:val="007A55B6"/>
    <w:rsid w:val="007C69C9"/>
    <w:rsid w:val="00827575"/>
    <w:rsid w:val="00883037"/>
    <w:rsid w:val="00885215"/>
    <w:rsid w:val="008A00E3"/>
    <w:rsid w:val="00924900"/>
    <w:rsid w:val="009B759D"/>
    <w:rsid w:val="00D070B1"/>
    <w:rsid w:val="00DC121A"/>
    <w:rsid w:val="00DF2D94"/>
    <w:rsid w:val="00ED74CE"/>
    <w:rsid w:val="00F41FF1"/>
    <w:rsid w:val="00F444C3"/>
    <w:rsid w:val="184E2ED4"/>
    <w:rsid w:val="39AC2928"/>
    <w:rsid w:val="3EF55C5F"/>
    <w:rsid w:val="603D9E64"/>
    <w:rsid w:val="72DD782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DFA2"/>
  <w15:chartTrackingRefBased/>
  <w15:docId w15:val="{525E0086-0361-4FFB-AEDC-C10193B4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21A"/>
    <w:pPr>
      <w:spacing w:after="120" w:line="240" w:lineRule="auto"/>
      <w:jc w:val="both"/>
    </w:pPr>
    <w:rPr>
      <w:rFonts w:ascii="Work Sans" w:hAnsi="Work Sans"/>
    </w:rPr>
  </w:style>
  <w:style w:type="paragraph" w:styleId="Titre1">
    <w:name w:val="heading 1"/>
    <w:basedOn w:val="Normal"/>
    <w:next w:val="Normal"/>
    <w:link w:val="Titre1Car"/>
    <w:uiPriority w:val="9"/>
    <w:qFormat/>
    <w:rsid w:val="006A4FAF"/>
    <w:pPr>
      <w:jc w:val="center"/>
      <w:outlineLvl w:val="0"/>
    </w:pPr>
    <w:rPr>
      <w:b/>
      <w:bCs/>
      <w:sz w:val="40"/>
      <w:szCs w:val="40"/>
      <w:lang w:val="fr-FR"/>
    </w:rPr>
  </w:style>
  <w:style w:type="paragraph" w:styleId="Titre2">
    <w:name w:val="heading 2"/>
    <w:basedOn w:val="Normal"/>
    <w:next w:val="Normal"/>
    <w:link w:val="Titre2Car"/>
    <w:uiPriority w:val="9"/>
    <w:unhideWhenUsed/>
    <w:qFormat/>
    <w:rsid w:val="00DC121A"/>
    <w:pPr>
      <w:shd w:val="clear" w:color="auto" w:fill="FFFFFF" w:themeFill="background1"/>
      <w:spacing w:before="480"/>
      <w:jc w:val="left"/>
      <w:outlineLvl w:val="1"/>
    </w:pPr>
    <w:rPr>
      <w:rFonts w:eastAsia="Times New Roman" w:cs="Times New Roman"/>
      <w:b/>
      <w:bCs/>
      <w:kern w:val="0"/>
      <w:sz w:val="28"/>
      <w:szCs w:val="28"/>
      <w:lang w:val="fr-FR"/>
      <w14:ligatures w14:val="none"/>
    </w:rPr>
  </w:style>
  <w:style w:type="paragraph" w:styleId="Titre3">
    <w:name w:val="heading 3"/>
    <w:basedOn w:val="Titre2"/>
    <w:next w:val="Normal"/>
    <w:link w:val="Titre3Car"/>
    <w:uiPriority w:val="9"/>
    <w:unhideWhenUsed/>
    <w:qFormat/>
    <w:rsid w:val="00DC121A"/>
    <w:pPr>
      <w:spacing w:before="240"/>
      <w:outlineLvl w:val="2"/>
    </w:pPr>
    <w:rPr>
      <w:sz w:val="24"/>
    </w:rPr>
  </w:style>
  <w:style w:type="paragraph" w:styleId="Titre4">
    <w:name w:val="heading 4"/>
    <w:basedOn w:val="Normal"/>
    <w:next w:val="Normal"/>
    <w:link w:val="Titre4Car"/>
    <w:uiPriority w:val="9"/>
    <w:semiHidden/>
    <w:unhideWhenUsed/>
    <w:qFormat/>
    <w:rsid w:val="003227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27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27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27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27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27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4FAF"/>
    <w:rPr>
      <w:rFonts w:ascii="Work Sans" w:hAnsi="Work Sans"/>
      <w:b/>
      <w:bCs/>
      <w:sz w:val="40"/>
      <w:szCs w:val="40"/>
      <w:lang w:val="fr-FR"/>
    </w:rPr>
  </w:style>
  <w:style w:type="character" w:customStyle="1" w:styleId="Titre2Car">
    <w:name w:val="Titre 2 Car"/>
    <w:basedOn w:val="Policepardfaut"/>
    <w:link w:val="Titre2"/>
    <w:uiPriority w:val="9"/>
    <w:rsid w:val="00DC121A"/>
    <w:rPr>
      <w:rFonts w:ascii="Work Sans" w:eastAsia="Times New Roman" w:hAnsi="Work Sans" w:cs="Times New Roman"/>
      <w:b/>
      <w:bCs/>
      <w:kern w:val="0"/>
      <w:sz w:val="28"/>
      <w:szCs w:val="28"/>
      <w:shd w:val="clear" w:color="auto" w:fill="FFFFFF" w:themeFill="background1"/>
      <w:lang w:val="fr-FR"/>
      <w14:ligatures w14:val="none"/>
    </w:rPr>
  </w:style>
  <w:style w:type="character" w:customStyle="1" w:styleId="Titre3Car">
    <w:name w:val="Titre 3 Car"/>
    <w:basedOn w:val="Policepardfaut"/>
    <w:link w:val="Titre3"/>
    <w:uiPriority w:val="9"/>
    <w:rsid w:val="00DC121A"/>
    <w:rPr>
      <w:rFonts w:ascii="Work Sans" w:eastAsia="Times New Roman" w:hAnsi="Work Sans" w:cs="Times New Roman"/>
      <w:b/>
      <w:bCs/>
      <w:kern w:val="0"/>
      <w:szCs w:val="28"/>
      <w:shd w:val="clear" w:color="auto" w:fill="FFFFFF" w:themeFill="background1"/>
      <w:lang w:val="fr-FR"/>
      <w14:ligatures w14:val="none"/>
    </w:rPr>
  </w:style>
  <w:style w:type="character" w:customStyle="1" w:styleId="Titre4Car">
    <w:name w:val="Titre 4 Car"/>
    <w:basedOn w:val="Policepardfaut"/>
    <w:link w:val="Titre4"/>
    <w:uiPriority w:val="9"/>
    <w:semiHidden/>
    <w:rsid w:val="003227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27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27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27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27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2727"/>
    <w:rPr>
      <w:rFonts w:eastAsiaTheme="majorEastAsia" w:cstheme="majorBidi"/>
      <w:color w:val="272727" w:themeColor="text1" w:themeTint="D8"/>
    </w:rPr>
  </w:style>
  <w:style w:type="paragraph" w:customStyle="1" w:styleId="Legende">
    <w:name w:val="Legende"/>
    <w:basedOn w:val="Normal"/>
    <w:qFormat/>
    <w:rsid w:val="006A4FAF"/>
    <w:pPr>
      <w:shd w:val="clear" w:color="auto" w:fill="FFFFFF" w:themeFill="background1"/>
    </w:pPr>
    <w:rPr>
      <w:rFonts w:eastAsia="Times New Roman" w:cs="Times New Roman"/>
      <w:kern w:val="0"/>
      <w:sz w:val="20"/>
      <w:szCs w:val="20"/>
      <w:lang w:val="fr-FR"/>
      <w14:ligatures w14:val="none"/>
    </w:rPr>
  </w:style>
  <w:style w:type="paragraph" w:customStyle="1" w:styleId="Biblio">
    <w:name w:val="Biblio"/>
    <w:basedOn w:val="Normal"/>
    <w:qFormat/>
    <w:rsid w:val="006A4FAF"/>
    <w:pPr>
      <w:numPr>
        <w:numId w:val="1"/>
      </w:numPr>
      <w:shd w:val="clear" w:color="auto" w:fill="FFFFFF" w:themeFill="background1"/>
    </w:pPr>
    <w:rPr>
      <w:rFonts w:eastAsia="Times New Roman" w:cs="Times New Roman"/>
      <w:kern w:val="0"/>
      <w:sz w:val="22"/>
      <w:szCs w:val="22"/>
      <w:lang w:val="fr-FR"/>
      <w14:ligatures w14:val="none"/>
    </w:rPr>
  </w:style>
  <w:style w:type="paragraph" w:styleId="Sous-titre">
    <w:name w:val="Subtitle"/>
    <w:basedOn w:val="Normal"/>
    <w:next w:val="Normal"/>
    <w:link w:val="Sous-titreCar"/>
    <w:uiPriority w:val="11"/>
    <w:qFormat/>
    <w:rsid w:val="006A4FAF"/>
    <w:pPr>
      <w:jc w:val="center"/>
    </w:pPr>
    <w:rPr>
      <w:lang w:val="fr-FR"/>
    </w:rPr>
  </w:style>
  <w:style w:type="character" w:customStyle="1" w:styleId="Sous-titreCar">
    <w:name w:val="Sous-titre Car"/>
    <w:basedOn w:val="Policepardfaut"/>
    <w:link w:val="Sous-titre"/>
    <w:uiPriority w:val="11"/>
    <w:rsid w:val="006A4FAF"/>
    <w:rPr>
      <w:rFonts w:ascii="Work Sans" w:hAnsi="Work Sans"/>
      <w:lang w:val="fr-FR"/>
    </w:rPr>
  </w:style>
  <w:style w:type="paragraph" w:styleId="Citation">
    <w:name w:val="Quote"/>
    <w:basedOn w:val="Normal"/>
    <w:next w:val="Normal"/>
    <w:link w:val="CitationCar"/>
    <w:uiPriority w:val="29"/>
    <w:qFormat/>
    <w:rsid w:val="00322727"/>
    <w:pPr>
      <w:spacing w:before="160"/>
      <w:jc w:val="center"/>
    </w:pPr>
    <w:rPr>
      <w:i/>
      <w:iCs/>
      <w:color w:val="404040" w:themeColor="text1" w:themeTint="BF"/>
    </w:rPr>
  </w:style>
  <w:style w:type="character" w:customStyle="1" w:styleId="CitationCar">
    <w:name w:val="Citation Car"/>
    <w:basedOn w:val="Policepardfaut"/>
    <w:link w:val="Citation"/>
    <w:uiPriority w:val="29"/>
    <w:rsid w:val="00322727"/>
    <w:rPr>
      <w:i/>
      <w:iCs/>
      <w:color w:val="404040" w:themeColor="text1" w:themeTint="BF"/>
    </w:rPr>
  </w:style>
  <w:style w:type="paragraph" w:styleId="Paragraphedeliste">
    <w:name w:val="List Paragraph"/>
    <w:basedOn w:val="Normal"/>
    <w:uiPriority w:val="34"/>
    <w:qFormat/>
    <w:rsid w:val="00322727"/>
    <w:pPr>
      <w:ind w:left="720"/>
      <w:contextualSpacing/>
    </w:pPr>
  </w:style>
  <w:style w:type="character" w:styleId="Accentuationintense">
    <w:name w:val="Intense Emphasis"/>
    <w:basedOn w:val="Policepardfaut"/>
    <w:uiPriority w:val="21"/>
    <w:qFormat/>
    <w:rsid w:val="00322727"/>
    <w:rPr>
      <w:i/>
      <w:iCs/>
      <w:color w:val="2F5496" w:themeColor="accent1" w:themeShade="BF"/>
    </w:rPr>
  </w:style>
  <w:style w:type="paragraph" w:styleId="Citationintense">
    <w:name w:val="Intense Quote"/>
    <w:basedOn w:val="Normal"/>
    <w:next w:val="Normal"/>
    <w:link w:val="CitationintenseCar"/>
    <w:uiPriority w:val="30"/>
    <w:qFormat/>
    <w:rsid w:val="00322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2727"/>
    <w:rPr>
      <w:i/>
      <w:iCs/>
      <w:color w:val="2F5496" w:themeColor="accent1" w:themeShade="BF"/>
    </w:rPr>
  </w:style>
  <w:style w:type="character" w:styleId="Rfrenceintense">
    <w:name w:val="Intense Reference"/>
    <w:basedOn w:val="Policepardfaut"/>
    <w:uiPriority w:val="32"/>
    <w:qFormat/>
    <w:rsid w:val="00322727"/>
    <w:rPr>
      <w:b/>
      <w:bCs/>
      <w:smallCaps/>
      <w:color w:val="2F5496" w:themeColor="accent1" w:themeShade="BF"/>
      <w:spacing w:val="5"/>
    </w:rPr>
  </w:style>
  <w:style w:type="table" w:styleId="Grilledutableau">
    <w:name w:val="Table Grid"/>
    <w:basedOn w:val="TableauNormal"/>
    <w:uiPriority w:val="39"/>
    <w:rsid w:val="00322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2727"/>
    <w:pPr>
      <w:spacing w:before="100" w:beforeAutospacing="1" w:after="100" w:afterAutospacing="1"/>
    </w:pPr>
    <w:rPr>
      <w:rFonts w:ascii="Times New Roman" w:eastAsia="Times New Roman" w:hAnsi="Times New Roman" w:cs="Times New Roman"/>
      <w:kern w:val="0"/>
      <w14:ligatures w14:val="none"/>
    </w:rPr>
  </w:style>
  <w:style w:type="character" w:styleId="Accentuation">
    <w:name w:val="Emphasis"/>
    <w:basedOn w:val="Policepardfaut"/>
    <w:uiPriority w:val="20"/>
    <w:qFormat/>
    <w:rsid w:val="00322727"/>
    <w:rPr>
      <w:i/>
      <w:iCs/>
    </w:rPr>
  </w:style>
  <w:style w:type="character" w:styleId="Lienhypertexte">
    <w:name w:val="Hyperlink"/>
    <w:basedOn w:val="Policepardfaut"/>
    <w:uiPriority w:val="99"/>
    <w:unhideWhenUsed/>
    <w:rsid w:val="00322727"/>
    <w:rPr>
      <w:color w:val="0563C1" w:themeColor="hyperlink"/>
      <w:u w:val="single"/>
    </w:rPr>
  </w:style>
  <w:style w:type="character" w:styleId="Mentionnonrsolue">
    <w:name w:val="Unresolved Mention"/>
    <w:basedOn w:val="Policepardfaut"/>
    <w:uiPriority w:val="99"/>
    <w:semiHidden/>
    <w:unhideWhenUsed/>
    <w:rsid w:val="00322727"/>
    <w:rPr>
      <w:color w:val="605E5C"/>
      <w:shd w:val="clear" w:color="auto" w:fill="E1DFDD"/>
    </w:r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pPr>
  </w:style>
  <w:style w:type="paragraph" w:styleId="Sansinterligne">
    <w:name w:val="No Spacing"/>
    <w:uiPriority w:val="1"/>
    <w:qFormat/>
    <w:rsid w:val="006A4FAF"/>
    <w:pPr>
      <w:spacing w:after="0" w:line="240" w:lineRule="auto"/>
    </w:pPr>
  </w:style>
  <w:style w:type="paragraph" w:customStyle="1" w:styleId="Pourciter">
    <w:name w:val="Pour citer"/>
    <w:basedOn w:val="Normal"/>
    <w:qFormat/>
    <w:rsid w:val="001B2293"/>
    <w:pPr>
      <w:ind w:left="3330"/>
      <w:jc w:val="left"/>
    </w:pPr>
    <w:rPr>
      <w:sz w:val="20"/>
      <w:szCs w:val="20"/>
      <w:lang w:val="fr-FR"/>
    </w:rPr>
  </w:style>
  <w:style w:type="character" w:styleId="Lienhypertextesuivivisit">
    <w:name w:val="FollowedHyperlink"/>
    <w:basedOn w:val="Policepardfaut"/>
    <w:uiPriority w:val="99"/>
    <w:semiHidden/>
    <w:unhideWhenUsed/>
    <w:rsid w:val="00DC121A"/>
    <w:rPr>
      <w:color w:val="954F72" w:themeColor="followedHyperlink"/>
      <w:u w:val="single"/>
    </w:rPr>
  </w:style>
  <w:style w:type="character" w:styleId="Appelnotedebasdep">
    <w:name w:val="footnote reference"/>
    <w:basedOn w:val="Policepardfaut"/>
    <w:uiPriority w:val="99"/>
    <w:semiHidden/>
    <w:unhideWhenUsed/>
    <w:rsid w:val="00ED74CE"/>
    <w:rPr>
      <w:vertAlign w:val="superscript"/>
    </w:rPr>
  </w:style>
  <w:style w:type="paragraph" w:styleId="Corpsdetexte">
    <w:name w:val="Body Text"/>
    <w:basedOn w:val="Normal"/>
    <w:link w:val="CorpsdetexteCar"/>
    <w:uiPriority w:val="1"/>
    <w:qFormat/>
    <w:rsid w:val="00ED74CE"/>
    <w:pPr>
      <w:widowControl w:val="0"/>
      <w:autoSpaceDE w:val="0"/>
      <w:autoSpaceDN w:val="0"/>
      <w:spacing w:after="0"/>
      <w:ind w:left="55"/>
    </w:pPr>
    <w:rPr>
      <w:rFonts w:ascii="Times New Roman" w:eastAsia="Times New Roman" w:hAnsi="Times New Roman" w:cs="Times New Roman"/>
      <w:kern w:val="0"/>
      <w:sz w:val="22"/>
      <w:szCs w:val="22"/>
      <w:lang w:val="fr-FR" w:eastAsia="en-US"/>
      <w14:ligatures w14:val="none"/>
    </w:rPr>
  </w:style>
  <w:style w:type="character" w:customStyle="1" w:styleId="CorpsdetexteCar">
    <w:name w:val="Corps de texte Car"/>
    <w:basedOn w:val="Policepardfaut"/>
    <w:link w:val="Corpsdetexte"/>
    <w:uiPriority w:val="1"/>
    <w:rsid w:val="00ED74CE"/>
    <w:rPr>
      <w:rFonts w:ascii="Times New Roman" w:eastAsia="Times New Roman" w:hAnsi="Times New Roman" w:cs="Times New Roman"/>
      <w:kern w:val="0"/>
      <w:sz w:val="22"/>
      <w:szCs w:val="22"/>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6892">
      <w:bodyDiv w:val="1"/>
      <w:marLeft w:val="0"/>
      <w:marRight w:val="0"/>
      <w:marTop w:val="0"/>
      <w:marBottom w:val="0"/>
      <w:divBdr>
        <w:top w:val="none" w:sz="0" w:space="0" w:color="auto"/>
        <w:left w:val="none" w:sz="0" w:space="0" w:color="auto"/>
        <w:bottom w:val="none" w:sz="0" w:space="0" w:color="auto"/>
        <w:right w:val="none" w:sz="0" w:space="0" w:color="auto"/>
      </w:divBdr>
    </w:div>
    <w:div w:id="668021387">
      <w:bodyDiv w:val="1"/>
      <w:marLeft w:val="0"/>
      <w:marRight w:val="0"/>
      <w:marTop w:val="0"/>
      <w:marBottom w:val="0"/>
      <w:divBdr>
        <w:top w:val="none" w:sz="0" w:space="0" w:color="auto"/>
        <w:left w:val="none" w:sz="0" w:space="0" w:color="auto"/>
        <w:bottom w:val="none" w:sz="0" w:space="0" w:color="auto"/>
        <w:right w:val="none" w:sz="0" w:space="0" w:color="auto"/>
      </w:divBdr>
    </w:div>
    <w:div w:id="804200953">
      <w:bodyDiv w:val="1"/>
      <w:marLeft w:val="0"/>
      <w:marRight w:val="0"/>
      <w:marTop w:val="0"/>
      <w:marBottom w:val="0"/>
      <w:divBdr>
        <w:top w:val="none" w:sz="0" w:space="0" w:color="auto"/>
        <w:left w:val="none" w:sz="0" w:space="0" w:color="auto"/>
        <w:bottom w:val="none" w:sz="0" w:space="0" w:color="auto"/>
        <w:right w:val="none" w:sz="0" w:space="0" w:color="auto"/>
      </w:divBdr>
      <w:divsChild>
        <w:div w:id="1412316508">
          <w:marLeft w:val="0"/>
          <w:marRight w:val="0"/>
          <w:marTop w:val="0"/>
          <w:marBottom w:val="0"/>
          <w:divBdr>
            <w:top w:val="none" w:sz="0" w:space="0" w:color="auto"/>
            <w:left w:val="none" w:sz="0" w:space="0" w:color="auto"/>
            <w:bottom w:val="none" w:sz="0" w:space="0" w:color="auto"/>
            <w:right w:val="none" w:sz="0" w:space="0" w:color="auto"/>
          </w:divBdr>
        </w:div>
        <w:div w:id="2078355689">
          <w:marLeft w:val="0"/>
          <w:marRight w:val="0"/>
          <w:marTop w:val="0"/>
          <w:marBottom w:val="0"/>
          <w:divBdr>
            <w:top w:val="none" w:sz="0" w:space="0" w:color="auto"/>
            <w:left w:val="none" w:sz="0" w:space="0" w:color="auto"/>
            <w:bottom w:val="none" w:sz="0" w:space="0" w:color="auto"/>
            <w:right w:val="none" w:sz="0" w:space="0" w:color="auto"/>
          </w:divBdr>
        </w:div>
        <w:div w:id="1937471207">
          <w:marLeft w:val="0"/>
          <w:marRight w:val="0"/>
          <w:marTop w:val="0"/>
          <w:marBottom w:val="0"/>
          <w:divBdr>
            <w:top w:val="none" w:sz="0" w:space="0" w:color="auto"/>
            <w:left w:val="none" w:sz="0" w:space="0" w:color="auto"/>
            <w:bottom w:val="none" w:sz="0" w:space="0" w:color="auto"/>
            <w:right w:val="none" w:sz="0" w:space="0" w:color="auto"/>
          </w:divBdr>
        </w:div>
      </w:divsChild>
    </w:div>
    <w:div w:id="1320888255">
      <w:bodyDiv w:val="1"/>
      <w:marLeft w:val="0"/>
      <w:marRight w:val="0"/>
      <w:marTop w:val="0"/>
      <w:marBottom w:val="0"/>
      <w:divBdr>
        <w:top w:val="none" w:sz="0" w:space="0" w:color="auto"/>
        <w:left w:val="none" w:sz="0" w:space="0" w:color="auto"/>
        <w:bottom w:val="none" w:sz="0" w:space="0" w:color="auto"/>
        <w:right w:val="none" w:sz="0" w:space="0" w:color="auto"/>
      </w:divBdr>
    </w:div>
    <w:div w:id="1322463998">
      <w:bodyDiv w:val="1"/>
      <w:marLeft w:val="0"/>
      <w:marRight w:val="0"/>
      <w:marTop w:val="0"/>
      <w:marBottom w:val="0"/>
      <w:divBdr>
        <w:top w:val="none" w:sz="0" w:space="0" w:color="auto"/>
        <w:left w:val="none" w:sz="0" w:space="0" w:color="auto"/>
        <w:bottom w:val="none" w:sz="0" w:space="0" w:color="auto"/>
        <w:right w:val="none" w:sz="0" w:space="0" w:color="auto"/>
      </w:divBdr>
      <w:divsChild>
        <w:div w:id="1315373756">
          <w:marLeft w:val="0"/>
          <w:marRight w:val="0"/>
          <w:marTop w:val="0"/>
          <w:marBottom w:val="0"/>
          <w:divBdr>
            <w:top w:val="none" w:sz="0" w:space="0" w:color="auto"/>
            <w:left w:val="none" w:sz="0" w:space="0" w:color="auto"/>
            <w:bottom w:val="none" w:sz="0" w:space="0" w:color="auto"/>
            <w:right w:val="none" w:sz="0" w:space="0" w:color="auto"/>
          </w:divBdr>
        </w:div>
        <w:div w:id="1950623049">
          <w:marLeft w:val="0"/>
          <w:marRight w:val="0"/>
          <w:marTop w:val="0"/>
          <w:marBottom w:val="0"/>
          <w:divBdr>
            <w:top w:val="none" w:sz="0" w:space="0" w:color="auto"/>
            <w:left w:val="none" w:sz="0" w:space="0" w:color="auto"/>
            <w:bottom w:val="none" w:sz="0" w:space="0" w:color="auto"/>
            <w:right w:val="none" w:sz="0" w:space="0" w:color="auto"/>
          </w:divBdr>
        </w:div>
        <w:div w:id="1647662404">
          <w:marLeft w:val="0"/>
          <w:marRight w:val="0"/>
          <w:marTop w:val="0"/>
          <w:marBottom w:val="0"/>
          <w:divBdr>
            <w:top w:val="none" w:sz="0" w:space="0" w:color="auto"/>
            <w:left w:val="none" w:sz="0" w:space="0" w:color="auto"/>
            <w:bottom w:val="none" w:sz="0" w:space="0" w:color="auto"/>
            <w:right w:val="none" w:sz="0" w:space="0" w:color="auto"/>
          </w:divBdr>
        </w:div>
        <w:div w:id="1107234078">
          <w:marLeft w:val="0"/>
          <w:marRight w:val="0"/>
          <w:marTop w:val="0"/>
          <w:marBottom w:val="0"/>
          <w:divBdr>
            <w:top w:val="none" w:sz="0" w:space="0" w:color="auto"/>
            <w:left w:val="none" w:sz="0" w:space="0" w:color="auto"/>
            <w:bottom w:val="none" w:sz="0" w:space="0" w:color="auto"/>
            <w:right w:val="none" w:sz="0" w:space="0" w:color="auto"/>
          </w:divBdr>
        </w:div>
      </w:divsChild>
    </w:div>
    <w:div w:id="1339767141">
      <w:bodyDiv w:val="1"/>
      <w:marLeft w:val="0"/>
      <w:marRight w:val="0"/>
      <w:marTop w:val="0"/>
      <w:marBottom w:val="0"/>
      <w:divBdr>
        <w:top w:val="none" w:sz="0" w:space="0" w:color="auto"/>
        <w:left w:val="none" w:sz="0" w:space="0" w:color="auto"/>
        <w:bottom w:val="none" w:sz="0" w:space="0" w:color="auto"/>
        <w:right w:val="none" w:sz="0" w:space="0" w:color="auto"/>
      </w:divBdr>
      <w:divsChild>
        <w:div w:id="312225578">
          <w:marLeft w:val="0"/>
          <w:marRight w:val="0"/>
          <w:marTop w:val="0"/>
          <w:marBottom w:val="0"/>
          <w:divBdr>
            <w:top w:val="none" w:sz="0" w:space="0" w:color="auto"/>
            <w:left w:val="none" w:sz="0" w:space="0" w:color="auto"/>
            <w:bottom w:val="none" w:sz="0" w:space="0" w:color="auto"/>
            <w:right w:val="none" w:sz="0" w:space="0" w:color="auto"/>
          </w:divBdr>
        </w:div>
        <w:div w:id="2094810392">
          <w:marLeft w:val="0"/>
          <w:marRight w:val="0"/>
          <w:marTop w:val="0"/>
          <w:marBottom w:val="0"/>
          <w:divBdr>
            <w:top w:val="none" w:sz="0" w:space="0" w:color="auto"/>
            <w:left w:val="none" w:sz="0" w:space="0" w:color="auto"/>
            <w:bottom w:val="none" w:sz="0" w:space="0" w:color="auto"/>
            <w:right w:val="none" w:sz="0" w:space="0" w:color="auto"/>
          </w:divBdr>
        </w:div>
        <w:div w:id="1478717920">
          <w:marLeft w:val="0"/>
          <w:marRight w:val="0"/>
          <w:marTop w:val="0"/>
          <w:marBottom w:val="0"/>
          <w:divBdr>
            <w:top w:val="none" w:sz="0" w:space="0" w:color="auto"/>
            <w:left w:val="none" w:sz="0" w:space="0" w:color="auto"/>
            <w:bottom w:val="none" w:sz="0" w:space="0" w:color="auto"/>
            <w:right w:val="none" w:sz="0" w:space="0" w:color="auto"/>
          </w:divBdr>
        </w:div>
      </w:divsChild>
    </w:div>
    <w:div w:id="1450901747">
      <w:bodyDiv w:val="1"/>
      <w:marLeft w:val="0"/>
      <w:marRight w:val="0"/>
      <w:marTop w:val="0"/>
      <w:marBottom w:val="0"/>
      <w:divBdr>
        <w:top w:val="none" w:sz="0" w:space="0" w:color="auto"/>
        <w:left w:val="none" w:sz="0" w:space="0" w:color="auto"/>
        <w:bottom w:val="none" w:sz="0" w:space="0" w:color="auto"/>
        <w:right w:val="none" w:sz="0" w:space="0" w:color="auto"/>
      </w:divBdr>
    </w:div>
    <w:div w:id="1654292284">
      <w:bodyDiv w:val="1"/>
      <w:marLeft w:val="0"/>
      <w:marRight w:val="0"/>
      <w:marTop w:val="0"/>
      <w:marBottom w:val="0"/>
      <w:divBdr>
        <w:top w:val="none" w:sz="0" w:space="0" w:color="auto"/>
        <w:left w:val="none" w:sz="0" w:space="0" w:color="auto"/>
        <w:bottom w:val="none" w:sz="0" w:space="0" w:color="auto"/>
        <w:right w:val="none" w:sz="0" w:space="0" w:color="auto"/>
      </w:divBdr>
      <w:divsChild>
        <w:div w:id="1617055837">
          <w:marLeft w:val="0"/>
          <w:marRight w:val="0"/>
          <w:marTop w:val="0"/>
          <w:marBottom w:val="0"/>
          <w:divBdr>
            <w:top w:val="none" w:sz="0" w:space="0" w:color="auto"/>
            <w:left w:val="none" w:sz="0" w:space="0" w:color="auto"/>
            <w:bottom w:val="none" w:sz="0" w:space="0" w:color="auto"/>
            <w:right w:val="none" w:sz="0" w:space="0" w:color="auto"/>
          </w:divBdr>
        </w:div>
        <w:div w:id="770048882">
          <w:marLeft w:val="0"/>
          <w:marRight w:val="0"/>
          <w:marTop w:val="0"/>
          <w:marBottom w:val="0"/>
          <w:divBdr>
            <w:top w:val="none" w:sz="0" w:space="0" w:color="auto"/>
            <w:left w:val="none" w:sz="0" w:space="0" w:color="auto"/>
            <w:bottom w:val="none" w:sz="0" w:space="0" w:color="auto"/>
            <w:right w:val="none" w:sz="0" w:space="0" w:color="auto"/>
          </w:divBdr>
        </w:div>
        <w:div w:id="834152850">
          <w:marLeft w:val="0"/>
          <w:marRight w:val="0"/>
          <w:marTop w:val="0"/>
          <w:marBottom w:val="0"/>
          <w:divBdr>
            <w:top w:val="none" w:sz="0" w:space="0" w:color="auto"/>
            <w:left w:val="none" w:sz="0" w:space="0" w:color="auto"/>
            <w:bottom w:val="none" w:sz="0" w:space="0" w:color="auto"/>
            <w:right w:val="none" w:sz="0" w:space="0" w:color="auto"/>
          </w:divBdr>
        </w:div>
        <w:div w:id="653608063">
          <w:marLeft w:val="0"/>
          <w:marRight w:val="0"/>
          <w:marTop w:val="0"/>
          <w:marBottom w:val="0"/>
          <w:divBdr>
            <w:top w:val="none" w:sz="0" w:space="0" w:color="auto"/>
            <w:left w:val="none" w:sz="0" w:space="0" w:color="auto"/>
            <w:bottom w:val="none" w:sz="0" w:space="0" w:color="auto"/>
            <w:right w:val="none" w:sz="0" w:space="0" w:color="auto"/>
          </w:divBdr>
        </w:div>
      </w:divsChild>
    </w:div>
    <w:div w:id="1803382639">
      <w:bodyDiv w:val="1"/>
      <w:marLeft w:val="0"/>
      <w:marRight w:val="0"/>
      <w:marTop w:val="0"/>
      <w:marBottom w:val="0"/>
      <w:divBdr>
        <w:top w:val="none" w:sz="0" w:space="0" w:color="auto"/>
        <w:left w:val="none" w:sz="0" w:space="0" w:color="auto"/>
        <w:bottom w:val="none" w:sz="0" w:space="0" w:color="auto"/>
        <w:right w:val="none" w:sz="0" w:space="0" w:color="auto"/>
      </w:divBdr>
    </w:div>
    <w:div w:id="2003239027">
      <w:bodyDiv w:val="1"/>
      <w:marLeft w:val="0"/>
      <w:marRight w:val="0"/>
      <w:marTop w:val="0"/>
      <w:marBottom w:val="0"/>
      <w:divBdr>
        <w:top w:val="none" w:sz="0" w:space="0" w:color="auto"/>
        <w:left w:val="none" w:sz="0" w:space="0" w:color="auto"/>
        <w:bottom w:val="none" w:sz="0" w:space="0" w:color="auto"/>
        <w:right w:val="none" w:sz="0" w:space="0" w:color="auto"/>
      </w:divBdr>
      <w:divsChild>
        <w:div w:id="1202984197">
          <w:marLeft w:val="0"/>
          <w:marRight w:val="0"/>
          <w:marTop w:val="0"/>
          <w:marBottom w:val="0"/>
          <w:divBdr>
            <w:top w:val="none" w:sz="0" w:space="0" w:color="auto"/>
            <w:left w:val="none" w:sz="0" w:space="0" w:color="auto"/>
            <w:bottom w:val="none" w:sz="0" w:space="0" w:color="auto"/>
            <w:right w:val="none" w:sz="0" w:space="0" w:color="auto"/>
          </w:divBdr>
        </w:div>
        <w:div w:id="2017683824">
          <w:marLeft w:val="0"/>
          <w:marRight w:val="0"/>
          <w:marTop w:val="0"/>
          <w:marBottom w:val="0"/>
          <w:divBdr>
            <w:top w:val="none" w:sz="0" w:space="0" w:color="auto"/>
            <w:left w:val="none" w:sz="0" w:space="0" w:color="auto"/>
            <w:bottom w:val="none" w:sz="0" w:space="0" w:color="auto"/>
            <w:right w:val="none" w:sz="0" w:space="0" w:color="auto"/>
          </w:divBdr>
        </w:div>
        <w:div w:id="130439670">
          <w:marLeft w:val="0"/>
          <w:marRight w:val="0"/>
          <w:marTop w:val="0"/>
          <w:marBottom w:val="0"/>
          <w:divBdr>
            <w:top w:val="none" w:sz="0" w:space="0" w:color="auto"/>
            <w:left w:val="none" w:sz="0" w:space="0" w:color="auto"/>
            <w:bottom w:val="none" w:sz="0" w:space="0" w:color="auto"/>
            <w:right w:val="none" w:sz="0" w:space="0" w:color="auto"/>
          </w:divBdr>
        </w:div>
        <w:div w:id="121512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582/geomob3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3273</Words>
  <Characters>18004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Calabuig Serra</dc:creator>
  <cp:keywords/>
  <dc:description/>
  <cp:lastModifiedBy>Myriam Ouellet</cp:lastModifiedBy>
  <cp:revision>2</cp:revision>
  <cp:lastPrinted>2024-02-01T15:45:00Z</cp:lastPrinted>
  <dcterms:created xsi:type="dcterms:W3CDTF">2026-03-27T16:11:00Z</dcterms:created>
  <dcterms:modified xsi:type="dcterms:W3CDTF">2026-03-27T16:11:00Z</dcterms:modified>
</cp:coreProperties>
</file>